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bookmarkStart w:id="0" w:name="_GoBack"/>
      <w:bookmarkEnd w:id="0"/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A332F" w:rsidRPr="00A31753" w:rsidRDefault="00A31753" w:rsidP="00A31753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rFonts w:ascii="Arial" w:hAnsi="Arial" w:cs="Arial"/>
          <w:b/>
          <w:sz w:val="26"/>
          <w:szCs w:val="26"/>
        </w:rPr>
        <w:t>R</w:t>
      </w:r>
      <w:r>
        <w:rPr>
          <w:rFonts w:ascii="Arial" w:hAnsi="Arial" w:cs="Arial"/>
          <w:b/>
          <w:sz w:val="24"/>
          <w:szCs w:val="24"/>
        </w:rPr>
        <w:t>aport</w:t>
      </w:r>
      <w:r w:rsidR="008C6721" w:rsidRPr="002B50C0">
        <w:rPr>
          <w:rFonts w:ascii="Arial" w:hAnsi="Arial" w:cs="Arial"/>
          <w:b/>
          <w:sz w:val="24"/>
          <w:szCs w:val="24"/>
        </w:rPr>
        <w:t xml:space="preserve"> z postępu rzeczowo-finansowego projektu informatycznego </w:t>
      </w:r>
    </w:p>
    <w:p w:rsidR="008C6721" w:rsidRPr="002B50C0" w:rsidRDefault="0062216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II</w:t>
      </w:r>
      <w:r w:rsidR="00DE11E9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2020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8A332F" w:rsidP="00A31753">
      <w:pPr>
        <w:spacing w:after="36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2216D" w:rsidRDefault="0062216D" w:rsidP="0062216D">
            <w:pPr>
              <w:jc w:val="center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</w:pP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Leopoldina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on-line-</w:t>
            </w:r>
            <w:r w:rsidRPr="00A6084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platforma</w:t>
            </w:r>
            <w:proofErr w:type="spellEnd"/>
            <w:r w:rsidRPr="00A6084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integracji i udostępniania elektronic</w:t>
            </w:r>
            <w:r w:rsidRPr="00A6084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z</w:t>
            </w:r>
            <w:r w:rsidRPr="00A6084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nych zasobów Uniwersytetu Wrocławskiego dla nauki, </w:t>
            </w:r>
            <w:r w:rsidRPr="00A6084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  <w:t>edukacji i popularyzacji wiedzy</w:t>
            </w:r>
          </w:p>
        </w:tc>
      </w:tr>
      <w:tr w:rsidR="0062216D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2216D" w:rsidRPr="008A332F" w:rsidRDefault="0062216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216D" w:rsidRPr="00A6084C" w:rsidRDefault="0062216D" w:rsidP="0062216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Uniwersytet Wrocławski</w:t>
            </w:r>
          </w:p>
        </w:tc>
      </w:tr>
      <w:tr w:rsidR="0062216D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2216D" w:rsidRPr="00725708" w:rsidRDefault="0062216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16D" w:rsidRPr="00A6084C" w:rsidRDefault="0062216D" w:rsidP="0062216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Uniwersytet Wrocławski</w:t>
            </w:r>
            <w:r w:rsidRPr="00A6084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62216D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2216D" w:rsidRPr="008A332F" w:rsidRDefault="0062216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16D" w:rsidRPr="00A6084C" w:rsidRDefault="0062216D" w:rsidP="0062216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216D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2216D" w:rsidRPr="008A332F" w:rsidRDefault="0062216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216D" w:rsidRPr="00A6084C" w:rsidRDefault="0062216D" w:rsidP="0062216D">
            <w:pPr>
              <w:pStyle w:val="NormalnyWeb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Program Operacyjny Polska Cyfrowa na lata 2014-2020, Oś priorytetowa nr II" E-administracja i otwarty rząd", Działanie 2.3 "Cyfrowa dostępność i użytec</w:t>
            </w:r>
            <w:r w:rsidRPr="00A6084C">
              <w:rPr>
                <w:rFonts w:ascii="Arial" w:hAnsi="Arial" w:cs="Arial"/>
                <w:sz w:val="18"/>
                <w:szCs w:val="18"/>
              </w:rPr>
              <w:t>z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ność informacji sektora publicznego",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Poddziałanie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nr 2.3.1 "Cyfrowe udostę</w:t>
            </w:r>
            <w:r w:rsidRPr="00A6084C">
              <w:rPr>
                <w:rFonts w:ascii="Arial" w:hAnsi="Arial" w:cs="Arial"/>
                <w:sz w:val="18"/>
                <w:szCs w:val="18"/>
              </w:rPr>
              <w:t>p</w:t>
            </w:r>
            <w:r w:rsidRPr="00A6084C">
              <w:rPr>
                <w:rFonts w:ascii="Arial" w:hAnsi="Arial" w:cs="Arial"/>
                <w:sz w:val="18"/>
                <w:szCs w:val="18"/>
              </w:rPr>
              <w:t>nienie informacji sektora publicznego ze źródeł administracji i zasobów nauki"- część budżetowa 27 „Informatyzacja”</w:t>
            </w:r>
          </w:p>
        </w:tc>
      </w:tr>
      <w:tr w:rsidR="0062216D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2216D" w:rsidRDefault="0062216D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62216D" w:rsidRPr="008A332F" w:rsidRDefault="0062216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216D" w:rsidRPr="00A6084C" w:rsidRDefault="0062216D" w:rsidP="0062216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14 040 293,84 zł</w:t>
            </w:r>
          </w:p>
        </w:tc>
      </w:tr>
      <w:tr w:rsidR="0062216D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2216D" w:rsidRPr="008A332F" w:rsidRDefault="0062216D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jektu - wydatki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  <w:proofErr w:type="spell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16D" w:rsidRPr="00A6084C" w:rsidRDefault="0062216D" w:rsidP="0062216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14 040 293,84 zł</w:t>
            </w:r>
          </w:p>
        </w:tc>
      </w:tr>
      <w:tr w:rsidR="0062216D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2216D" w:rsidRDefault="0062216D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62216D" w:rsidRPr="008A332F" w:rsidRDefault="0062216D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216D" w:rsidRPr="00A6084C" w:rsidRDefault="00CA2DB7" w:rsidP="0062216D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1.11.2017-29.01</w:t>
            </w:r>
            <w:r w:rsidR="0062216D" w:rsidRPr="00A6084C">
              <w:rPr>
                <w:rFonts w:ascii="Arial" w:hAnsi="Arial" w:cs="Arial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4C1D48" w:rsidRPr="0062216D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2216D" w:rsidRPr="0062216D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62216D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4E40C9" w:rsidRDefault="00813167" w:rsidP="004E40C9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color w:val="000000"/>
              </w:rPr>
              <w:t>89,74</w:t>
            </w:r>
            <w:r w:rsidR="004E40C9" w:rsidRPr="004C0DFB">
              <w:rPr>
                <w:color w:val="000000"/>
              </w:rPr>
              <w:t xml:space="preserve"> %</w:t>
            </w:r>
          </w:p>
        </w:tc>
        <w:tc>
          <w:tcPr>
            <w:tcW w:w="3260" w:type="dxa"/>
          </w:tcPr>
          <w:p w:rsidR="004E40C9" w:rsidRPr="004C0DFB" w:rsidRDefault="004E40C9" w:rsidP="00E24FD2">
            <w:pPr>
              <w:rPr>
                <w:color w:val="000000"/>
              </w:rPr>
            </w:pPr>
            <w:r w:rsidRPr="004C0DFB">
              <w:rPr>
                <w:color w:val="000000"/>
              </w:rPr>
              <w:t>1) 63,29 % </w:t>
            </w:r>
          </w:p>
          <w:p w:rsidR="004E40C9" w:rsidRPr="004C0DFB" w:rsidRDefault="004E40C9" w:rsidP="00E24FD2">
            <w:pPr>
              <w:rPr>
                <w:color w:val="000000"/>
              </w:rPr>
            </w:pPr>
            <w:r w:rsidRPr="004C0DFB">
              <w:rPr>
                <w:color w:val="000000"/>
              </w:rPr>
              <w:t>2) 54,40 % </w:t>
            </w:r>
          </w:p>
          <w:p w:rsidR="004E40C9" w:rsidRDefault="004E40C9" w:rsidP="00E24FD2">
            <w:pPr>
              <w:rPr>
                <w:color w:val="000000"/>
              </w:rPr>
            </w:pPr>
            <w:r w:rsidRPr="004C0DFB">
              <w:rPr>
                <w:color w:val="000000"/>
              </w:rPr>
              <w:t>3) Nie dotyczy</w:t>
            </w:r>
            <w:r>
              <w:rPr>
                <w:color w:val="000000"/>
              </w:rPr>
              <w:t> </w:t>
            </w:r>
          </w:p>
          <w:p w:rsidR="00907F6D" w:rsidRPr="000704A7" w:rsidRDefault="00907F6D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402" w:type="dxa"/>
          </w:tcPr>
          <w:p w:rsidR="000704A7" w:rsidRPr="000704A7" w:rsidRDefault="004E40C9" w:rsidP="000704A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DFB">
              <w:rPr>
                <w:color w:val="000000"/>
              </w:rPr>
              <w:t>93,17 %</w:t>
            </w:r>
          </w:p>
          <w:p w:rsidR="00907F6D" w:rsidRPr="000704A7" w:rsidRDefault="00907F6D" w:rsidP="00795A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497"/>
        <w:gridCol w:w="1460"/>
        <w:gridCol w:w="1306"/>
        <w:gridCol w:w="1824"/>
        <w:gridCol w:w="2552"/>
      </w:tblGrid>
      <w:tr w:rsidR="00125455" w:rsidRPr="0083039B" w:rsidTr="00A31753">
        <w:trPr>
          <w:tblHeader/>
        </w:trPr>
        <w:tc>
          <w:tcPr>
            <w:tcW w:w="2497" w:type="dxa"/>
            <w:shd w:val="clear" w:color="auto" w:fill="D0CECE" w:themeFill="background2" w:themeFillShade="E6"/>
          </w:tcPr>
          <w:p w:rsidR="00125455" w:rsidRPr="0083039B" w:rsidRDefault="00125455" w:rsidP="00A317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125455" w:rsidRPr="0083039B" w:rsidRDefault="00125455" w:rsidP="00A317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83039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125455" w:rsidRPr="00EA7E8C" w:rsidRDefault="00125455" w:rsidP="00A317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A7E8C">
              <w:rPr>
                <w:rFonts w:ascii="Arial" w:hAnsi="Arial" w:cs="Arial"/>
                <w:b/>
                <w:sz w:val="18"/>
                <w:szCs w:val="18"/>
              </w:rPr>
              <w:t>Planowany termin osi</w:t>
            </w:r>
            <w:r w:rsidRPr="00EA7E8C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Pr="00EA7E8C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824" w:type="dxa"/>
            <w:shd w:val="clear" w:color="auto" w:fill="D0CECE" w:themeFill="background2" w:themeFillShade="E6"/>
          </w:tcPr>
          <w:p w:rsidR="00125455" w:rsidRPr="0083039B" w:rsidRDefault="00125455" w:rsidP="00A317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Rzeczywisty te</w:t>
            </w:r>
            <w:r w:rsidRPr="0083039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Pr="0083039B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:rsidR="00125455" w:rsidRPr="0083039B" w:rsidRDefault="00125455" w:rsidP="00A317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Przetarg na sprzęt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gramowanie dla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i dostawa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9C4198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125455" w:rsidRPr="00EA7E8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EA7E8C">
              <w:rPr>
                <w:rFonts w:ascii="Arial" w:hAnsi="Arial" w:cs="Arial"/>
                <w:sz w:val="18"/>
                <w:szCs w:val="18"/>
              </w:rPr>
              <w:t>7-2018</w:t>
            </w:r>
          </w:p>
          <w:p w:rsidR="00125455" w:rsidRPr="00EA7E8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  <w:p w:rsidR="00125455" w:rsidRPr="00EA7E8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  <w:p w:rsidR="00125455" w:rsidRPr="00EA7E8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125455" w:rsidRPr="0083039B" w:rsidRDefault="00125455" w:rsidP="00A3175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7-2018</w:t>
            </w:r>
          </w:p>
        </w:tc>
        <w:tc>
          <w:tcPr>
            <w:tcW w:w="2552" w:type="dxa"/>
          </w:tcPr>
          <w:p w:rsidR="00125455" w:rsidRDefault="00125455" w:rsidP="00A317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125455" w:rsidRPr="0083039B" w:rsidRDefault="00125455" w:rsidP="00A317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Opóźnienia w osiągn</w:t>
            </w:r>
            <w:r>
              <w:rPr>
                <w:rFonts w:ascii="Arial" w:hAnsi="Arial" w:cs="Arial"/>
                <w:sz w:val="18"/>
                <w:szCs w:val="18"/>
              </w:rPr>
              <w:t>ięciu kamienia milowego wynikały z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przedłużających się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proc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dur przetargowych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Po ogł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szeniu zamówienia, </w:t>
            </w:r>
            <w:r>
              <w:rPr>
                <w:rFonts w:ascii="Arial" w:hAnsi="Arial" w:cs="Arial"/>
                <w:sz w:val="18"/>
                <w:szCs w:val="18"/>
              </w:rPr>
              <w:t>pojawiły się zapytania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dot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przedmi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tu zamówienia, co skutkow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ło przesunięciem terminu składania ofert. Dodatkowo jeden z potencjalnych </w:t>
            </w:r>
            <w:r w:rsidRPr="006A0F28">
              <w:rPr>
                <w:rFonts w:ascii="Arial" w:hAnsi="Arial" w:cs="Arial"/>
                <w:sz w:val="18"/>
                <w:szCs w:val="18"/>
              </w:rPr>
              <w:t>of</w:t>
            </w:r>
            <w:r w:rsidRPr="006A0F28">
              <w:rPr>
                <w:rFonts w:ascii="Arial" w:hAnsi="Arial" w:cs="Arial"/>
                <w:sz w:val="18"/>
                <w:szCs w:val="18"/>
              </w:rPr>
              <w:t>e</w:t>
            </w:r>
            <w:r w:rsidRPr="006A0F28">
              <w:rPr>
                <w:rFonts w:ascii="Arial" w:hAnsi="Arial" w:cs="Arial"/>
                <w:sz w:val="18"/>
                <w:szCs w:val="18"/>
              </w:rPr>
              <w:t>rentów zaskarżył zapisy SIWZ do Krajowej Izby O</w:t>
            </w:r>
            <w:r w:rsidRPr="006A0F28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woławczej. R</w:t>
            </w:r>
            <w:r w:rsidRPr="006A0F28">
              <w:rPr>
                <w:rFonts w:ascii="Arial" w:hAnsi="Arial" w:cs="Arial"/>
                <w:sz w:val="18"/>
                <w:szCs w:val="18"/>
              </w:rPr>
              <w:t>ozprawa</w:t>
            </w:r>
            <w:r>
              <w:rPr>
                <w:rFonts w:ascii="Arial" w:hAnsi="Arial" w:cs="Arial"/>
                <w:sz w:val="18"/>
                <w:szCs w:val="18"/>
              </w:rPr>
              <w:t xml:space="preserve"> w KIO odbyła się w kwietniu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, w wyniku której protest został oddalony. Dodatkowo 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do Sądu Okręgowego we Wr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cławiu, wpłynęła skarga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firmy </w:t>
            </w:r>
            <w:proofErr w:type="spellStart"/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Bezpieczne.it</w:t>
            </w:r>
            <w:proofErr w:type="spellEnd"/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orzeczenie Krajowej Izby Odwoławczej</w:t>
            </w:r>
            <w:r w:rsidRPr="006A0F28">
              <w:rPr>
                <w:rFonts w:ascii="Arial" w:hAnsi="Arial" w:cs="Arial"/>
                <w:sz w:val="18"/>
                <w:szCs w:val="18"/>
              </w:rPr>
              <w:t>. Uniwersytet podjął decyzję, że nie będzie z tego</w:t>
            </w:r>
            <w:r>
              <w:rPr>
                <w:rFonts w:ascii="Arial" w:hAnsi="Arial" w:cs="Arial"/>
                <w:sz w:val="18"/>
                <w:szCs w:val="18"/>
              </w:rPr>
              <w:t xml:space="preserve"> powodu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 przesuwał terminu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A0F28">
              <w:rPr>
                <w:rFonts w:ascii="Arial" w:hAnsi="Arial" w:cs="Arial"/>
                <w:sz w:val="18"/>
                <w:szCs w:val="18"/>
              </w:rPr>
              <w:t>składania ofert.</w:t>
            </w:r>
            <w:r>
              <w:rPr>
                <w:rFonts w:ascii="Arial" w:hAnsi="Arial" w:cs="Arial"/>
                <w:sz w:val="18"/>
                <w:szCs w:val="18"/>
              </w:rPr>
              <w:t xml:space="preserve"> Przetarg zakończył się zawarciem umowy z dosta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cą firmą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Prosystem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S.A. w lipcu.</w:t>
            </w: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Uruchomienie i testowanie infrastruktury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9C4198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A7E8C">
              <w:rPr>
                <w:rFonts w:ascii="Arial" w:hAnsi="Arial" w:cs="Arial"/>
                <w:sz w:val="18"/>
                <w:szCs w:val="18"/>
              </w:rPr>
              <w:t>8-</w:t>
            </w:r>
            <w:r w:rsidRPr="0083039B">
              <w:rPr>
                <w:rFonts w:ascii="Arial" w:hAnsi="Arial" w:cs="Arial"/>
                <w:sz w:val="18"/>
                <w:szCs w:val="18"/>
              </w:rPr>
              <w:t>2018</w:t>
            </w:r>
          </w:p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125455" w:rsidRPr="0083039B" w:rsidRDefault="00125455" w:rsidP="00A3175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C4B5F">
              <w:rPr>
                <w:rFonts w:ascii="Arial" w:hAnsi="Arial" w:cs="Arial"/>
                <w:sz w:val="18"/>
                <w:szCs w:val="18"/>
                <w:lang w:eastAsia="pl-PL"/>
              </w:rPr>
              <w:t>8-2018</w:t>
            </w:r>
          </w:p>
          <w:p w:rsidR="00125455" w:rsidRPr="0083039B" w:rsidRDefault="00125455" w:rsidP="00A3175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125455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Opóźniająca się procedura przetargowa prowadząca do wyłonienia dostawcy sprzętu wpłynęła na opóźnienie uruchomienie i testowanie infrastruktury dla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Wykonanie cyfrowych o</w:t>
            </w:r>
            <w:r w:rsidRPr="0083039B">
              <w:rPr>
                <w:rFonts w:ascii="Arial" w:hAnsi="Arial" w:cs="Arial"/>
                <w:sz w:val="18"/>
                <w:szCs w:val="18"/>
              </w:rPr>
              <w:t>d</w:t>
            </w:r>
            <w:r w:rsidRPr="0083039B">
              <w:rPr>
                <w:rFonts w:ascii="Arial" w:hAnsi="Arial" w:cs="Arial"/>
                <w:sz w:val="18"/>
                <w:szCs w:val="18"/>
              </w:rPr>
              <w:t>wzorowań obiektów prz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znaczonych do digitalizacji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125455" w:rsidRPr="0083039B" w:rsidRDefault="009C4198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25455" w:rsidRPr="0083039B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2,</w:t>
            </w:r>
          </w:p>
          <w:p w:rsidR="00125455" w:rsidRPr="0083039B" w:rsidRDefault="009C4198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23 805</w:t>
            </w:r>
            <w:r w:rsidR="00125455" w:rsidRPr="0083039B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:rsidR="00125455" w:rsidRPr="0083039B" w:rsidRDefault="004C0DFB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NimbusSanL Regu" w:hAnsi="NimbusSanL Regu" w:cs="NimbusSanL Regu"/>
                <w:sz w:val="18"/>
                <w:szCs w:val="18"/>
              </w:rPr>
              <w:t>10</w:t>
            </w:r>
            <w:r w:rsidR="00125455" w:rsidRPr="0083039B">
              <w:rPr>
                <w:rFonts w:ascii="NimbusSanL Regu" w:hAnsi="NimbusSanL Regu" w:cs="NimbusSanL Regu"/>
                <w:sz w:val="18"/>
                <w:szCs w:val="18"/>
              </w:rPr>
              <w:t>-2020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125455" w:rsidRPr="0083039B" w:rsidRDefault="00125455" w:rsidP="00A3175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125455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4C0DFB" w:rsidRPr="0083039B" w:rsidRDefault="004C0DFB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z realizacji tego kamienia milowego wynika z faktu, że jedna jednostka uczelniana nie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zdigitaliozw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ła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wszystkich zaplanow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nych przez siebie obiektów, ponieważ skaner , który otrzymali na wyposażenie nie mógł zrobić  odwzorowań wielkoformatowych. Zostało to zlecone innej jednostce - Bibliotece Uniwersyteckiej, która mogła zająć się tym w miesiącach wrześniu i pa</w:t>
            </w:r>
            <w:r>
              <w:rPr>
                <w:rFonts w:ascii="Arial" w:hAnsi="Arial" w:cs="Arial"/>
                <w:sz w:val="18"/>
                <w:szCs w:val="18"/>
              </w:rPr>
              <w:t>ź</w:t>
            </w:r>
            <w:r>
              <w:rPr>
                <w:rFonts w:ascii="Arial" w:hAnsi="Arial" w:cs="Arial"/>
                <w:sz w:val="18"/>
                <w:szCs w:val="18"/>
              </w:rPr>
              <w:t xml:space="preserve">dzierniku.  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Opracowanie merytoryczne obiektów przeznaczonych do</w:t>
            </w:r>
          </w:p>
          <w:p w:rsidR="00125455" w:rsidRPr="0083039B" w:rsidRDefault="00125455" w:rsidP="00A317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digitalizacji/udostępnienia z uwzględnieniem opisów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metadanowych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i</w:t>
            </w:r>
          </w:p>
          <w:p w:rsidR="00125455" w:rsidRPr="0083039B" w:rsidRDefault="00125455" w:rsidP="00A317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kontekstowych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125455" w:rsidRPr="0083039B" w:rsidRDefault="009C4198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25455" w:rsidRPr="0083039B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3</w:t>
            </w:r>
            <w:r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125455" w:rsidRPr="0083039B" w:rsidRDefault="009C4198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23 805</w:t>
            </w:r>
            <w:r w:rsidR="00125455" w:rsidRPr="0083039B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039B">
              <w:rPr>
                <w:rFonts w:ascii="NimbusSanL Regu" w:hAnsi="NimbusSanL Regu" w:cs="NimbusSanL Regu"/>
                <w:sz w:val="18"/>
                <w:szCs w:val="18"/>
              </w:rPr>
              <w:t>08-2020</w:t>
            </w:r>
          </w:p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125455" w:rsidRPr="0083039B" w:rsidRDefault="004C0DFB" w:rsidP="00A3175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8-2020</w:t>
            </w:r>
          </w:p>
          <w:p w:rsidR="00125455" w:rsidRPr="0083039B" w:rsidRDefault="00125455" w:rsidP="00A3175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125455" w:rsidRPr="0083039B" w:rsidRDefault="004C0DFB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455" w:rsidRPr="0083039B" w:rsidTr="00A31753">
        <w:trPr>
          <w:trHeight w:val="1058"/>
        </w:trPr>
        <w:tc>
          <w:tcPr>
            <w:tcW w:w="2497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sprzęt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 do digitalizacji dla jednostek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198" w:rsidRPr="0083039B" w:rsidRDefault="009C4198" w:rsidP="009C41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125455" w:rsidRPr="00104BC9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NimbusSanL Regu" w:hAnsi="NimbusSanL Regu" w:cs="NimbusSanL Regu"/>
                <w:sz w:val="18"/>
                <w:szCs w:val="18"/>
              </w:rPr>
            </w:pPr>
            <w:r>
              <w:rPr>
                <w:rFonts w:ascii="NimbusSanL Regu" w:hAnsi="NimbusSanL Regu" w:cs="NimbusSanL Regu"/>
                <w:sz w:val="18"/>
                <w:szCs w:val="18"/>
              </w:rPr>
              <w:t>4-2019</w:t>
            </w:r>
          </w:p>
          <w:p w:rsidR="00125455" w:rsidRPr="00333B90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NimbusSanL Regu" w:hAnsi="NimbusSanL Regu" w:cs="NimbusSanL Regu"/>
                <w:color w:val="FF0000"/>
                <w:sz w:val="18"/>
                <w:szCs w:val="18"/>
              </w:rPr>
            </w:pPr>
          </w:p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125455" w:rsidRPr="00EA7E8C" w:rsidRDefault="00125455" w:rsidP="00A3175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7E8C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07-2019 </w:t>
            </w:r>
          </w:p>
          <w:p w:rsidR="00125455" w:rsidRPr="00D9431D" w:rsidRDefault="00125455" w:rsidP="00A3175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125455" w:rsidRDefault="00125455" w:rsidP="00A317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:rsidR="00125455" w:rsidRDefault="00125455" w:rsidP="00A3175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Podję</w:t>
            </w:r>
            <w:r>
              <w:rPr>
                <w:rFonts w:ascii="Arial" w:hAnsi="Arial" w:cs="Arial"/>
                <w:sz w:val="18"/>
                <w:szCs w:val="18"/>
              </w:rPr>
              <w:t>to decyzję o ogłoszeniu pięciu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odrębnych przetar</w:t>
            </w:r>
            <w:r>
              <w:rPr>
                <w:rFonts w:ascii="Arial" w:hAnsi="Arial" w:cs="Arial"/>
                <w:sz w:val="18"/>
                <w:szCs w:val="18"/>
              </w:rPr>
              <w:t>gów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:jeden na dostawę skanerów do digitalizacji (ogłoszony </w:t>
            </w: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5.06), drugi na sprzęt ko</w:t>
            </w:r>
            <w:r w:rsidRPr="0083039B">
              <w:rPr>
                <w:rFonts w:ascii="Arial" w:hAnsi="Arial" w:cs="Arial"/>
                <w:sz w:val="18"/>
                <w:szCs w:val="18"/>
              </w:rPr>
              <w:t>m</w:t>
            </w:r>
            <w:r w:rsidRPr="0083039B">
              <w:rPr>
                <w:rFonts w:ascii="Arial" w:hAnsi="Arial" w:cs="Arial"/>
                <w:sz w:val="18"/>
                <w:szCs w:val="18"/>
              </w:rPr>
              <w:t>puterowy i oprogramowanie do stanowisk do digitalizacji (ogłoszony 30.05), trzeci na dostawę sprzętu fotografic</w:t>
            </w:r>
            <w:r w:rsidRPr="0083039B">
              <w:rPr>
                <w:rFonts w:ascii="Arial" w:hAnsi="Arial" w:cs="Arial"/>
                <w:sz w:val="18"/>
                <w:szCs w:val="18"/>
              </w:rPr>
              <w:t>z</w:t>
            </w:r>
            <w:r w:rsidRPr="0083039B">
              <w:rPr>
                <w:rFonts w:ascii="Arial" w:hAnsi="Arial" w:cs="Arial"/>
                <w:sz w:val="18"/>
                <w:szCs w:val="18"/>
              </w:rPr>
              <w:t>nego stanowiącego wypos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>żenie fotograficznych stan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wisk do digitalizacji (</w:t>
            </w:r>
            <w:r>
              <w:rPr>
                <w:rFonts w:ascii="Arial" w:hAnsi="Arial" w:cs="Arial"/>
                <w:sz w:val="18"/>
                <w:szCs w:val="18"/>
              </w:rPr>
              <w:t>3 lipca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) oraz </w:t>
            </w:r>
            <w:r>
              <w:rPr>
                <w:rFonts w:ascii="Arial" w:hAnsi="Arial" w:cs="Arial"/>
                <w:sz w:val="18"/>
                <w:szCs w:val="18"/>
              </w:rPr>
              <w:t xml:space="preserve">dwa kolejne </w:t>
            </w:r>
            <w:r w:rsidRPr="0083039B">
              <w:rPr>
                <w:rFonts w:ascii="Arial" w:hAnsi="Arial" w:cs="Arial"/>
                <w:sz w:val="18"/>
                <w:szCs w:val="18"/>
              </w:rPr>
              <w:t>na specj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>listyczny sprzęt (prace nad dokumentacją przetar</w:t>
            </w:r>
            <w:r>
              <w:rPr>
                <w:rFonts w:ascii="Arial" w:hAnsi="Arial" w:cs="Arial"/>
                <w:sz w:val="18"/>
                <w:szCs w:val="18"/>
              </w:rPr>
              <w:t>gową zakończyły się, przetargi zostaną ogłoszone w kole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  <w:r>
              <w:rPr>
                <w:rFonts w:ascii="Arial" w:hAnsi="Arial" w:cs="Arial"/>
                <w:sz w:val="18"/>
                <w:szCs w:val="18"/>
              </w:rPr>
              <w:t>nym okresie sprawozda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czym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). </w:t>
            </w:r>
            <w:r>
              <w:rPr>
                <w:rFonts w:ascii="Arial" w:hAnsi="Arial" w:cs="Arial"/>
                <w:sz w:val="18"/>
                <w:szCs w:val="18"/>
              </w:rPr>
              <w:t>Decyzja o podziale zamówienia zapadła ze względu na to, że ciężko byłoby znaleźć jednego dostawcę całego zamawi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nego sprzętów. Opis Prze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miotu Zamówienia przeta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gów przygotowano już w oparciu o potrzeby zweryf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kowane po pierwszym etapie digitalizacji. Założony sprzęt na etapie pisania wniosku okazał się nie do końca spełniający wszystkie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trzeby zespołu do digitaliz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cji. Najpierw przeprowadz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no trzy przetargi, a następnie dwa kolejne. </w:t>
            </w:r>
            <w:r w:rsidRPr="009870C0">
              <w:rPr>
                <w:rFonts w:ascii="Arial" w:hAnsi="Arial" w:cs="Arial"/>
                <w:sz w:val="18"/>
                <w:szCs w:val="18"/>
              </w:rPr>
              <w:t>Z powodu p</w:t>
            </w:r>
            <w:r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Pr="009870C0">
              <w:rPr>
                <w:rFonts w:ascii="Arial" w:hAnsi="Arial" w:cs="Arial"/>
                <w:sz w:val="18"/>
                <w:szCs w:val="18"/>
              </w:rPr>
              <w:t>trzeby częstych konsultacji i ponownych szkoleń skier</w:t>
            </w:r>
            <w:r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Pr="009870C0">
              <w:rPr>
                <w:rFonts w:ascii="Arial" w:hAnsi="Arial" w:cs="Arial"/>
                <w:sz w:val="18"/>
                <w:szCs w:val="18"/>
              </w:rPr>
              <w:t>wanych do zespołów w je</w:t>
            </w:r>
            <w:r w:rsidRPr="009870C0">
              <w:rPr>
                <w:rFonts w:ascii="Arial" w:hAnsi="Arial" w:cs="Arial"/>
                <w:sz w:val="18"/>
                <w:szCs w:val="18"/>
              </w:rPr>
              <w:t>d</w:t>
            </w:r>
            <w:r w:rsidRPr="009870C0">
              <w:rPr>
                <w:rFonts w:ascii="Arial" w:hAnsi="Arial" w:cs="Arial"/>
                <w:sz w:val="18"/>
                <w:szCs w:val="18"/>
              </w:rPr>
              <w:t>nostkach pr</w:t>
            </w:r>
            <w:r>
              <w:rPr>
                <w:rFonts w:ascii="Arial" w:hAnsi="Arial" w:cs="Arial"/>
                <w:sz w:val="18"/>
                <w:szCs w:val="18"/>
              </w:rPr>
              <w:t>zygotowanie dokumentacji</w:t>
            </w:r>
            <w:r w:rsidRPr="009870C0">
              <w:rPr>
                <w:rFonts w:ascii="Arial" w:hAnsi="Arial" w:cs="Arial"/>
                <w:sz w:val="18"/>
                <w:szCs w:val="18"/>
              </w:rPr>
              <w:t xml:space="preserve"> dwóch</w:t>
            </w:r>
            <w:r>
              <w:rPr>
                <w:rFonts w:ascii="Arial" w:hAnsi="Arial" w:cs="Arial"/>
                <w:sz w:val="18"/>
                <w:szCs w:val="18"/>
              </w:rPr>
              <w:t xml:space="preserve"> osta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nich</w:t>
            </w:r>
            <w:r w:rsidRPr="009870C0">
              <w:rPr>
                <w:rFonts w:ascii="Arial" w:hAnsi="Arial" w:cs="Arial"/>
                <w:sz w:val="18"/>
                <w:szCs w:val="18"/>
              </w:rPr>
              <w:t xml:space="preserve"> przetargów </w:t>
            </w:r>
            <w:r>
              <w:rPr>
                <w:rFonts w:ascii="Arial" w:hAnsi="Arial" w:cs="Arial"/>
                <w:sz w:val="18"/>
                <w:szCs w:val="18"/>
              </w:rPr>
              <w:t xml:space="preserve">ponownie </w:t>
            </w:r>
            <w:r w:rsidRPr="009870C0">
              <w:rPr>
                <w:rFonts w:ascii="Arial" w:hAnsi="Arial" w:cs="Arial"/>
                <w:sz w:val="18"/>
                <w:szCs w:val="18"/>
              </w:rPr>
              <w:t>opóźniło się. Dodatkowo trzeba było przygotować ponowne szacowanie wart</w:t>
            </w:r>
            <w:r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Pr="009870C0">
              <w:rPr>
                <w:rFonts w:ascii="Arial" w:hAnsi="Arial" w:cs="Arial"/>
                <w:sz w:val="18"/>
                <w:szCs w:val="18"/>
              </w:rPr>
              <w:t>ści zamówienia, a firmy nie odpowiadały na zapytania.</w:t>
            </w:r>
          </w:p>
          <w:p w:rsidR="00125455" w:rsidRPr="009870C0" w:rsidRDefault="00125455" w:rsidP="00A31753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Opóźniające się dwa osta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nie przetargi nie miały wpł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wu na przebieg prac digital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zacyjnych, ponieważ je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nostki, którym ten sprzęt jest dedykowany, pracowały w tym czasie nad obiektami, które nie wymagały użycia sprzętu specjalistycznego. Zespół zarządzający zapl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nował harmonogram prac digitalizacyjnych uwzględni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jąc opóźnienie zakupu sprz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>tu specjalistycznego. Je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nostki mają różnorodne  obiekty, które trzeba odwz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rować, zatem udało się ro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łożyć prace bez uszczerbku dla zaplanowanych wskaźn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ków. Przetargi na Binokular z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kamerą CCD oraz Spektr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metr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Ramana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zostały ogł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szone jeszcze w kwietniu 2018r. W maju otwarto oferty , w czerwcu zawiadomiono o wyborze najkorzystniejszych ofert i podpisano umowy. </w:t>
            </w: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Uruchomienie i testowanie sprzętu w jednostkach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9C4198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125455" w:rsidRPr="00104BC9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7E8C">
              <w:rPr>
                <w:rFonts w:ascii="Arial" w:hAnsi="Arial" w:cs="Arial"/>
                <w:sz w:val="18"/>
                <w:szCs w:val="18"/>
                <w:lang w:eastAsia="pl-PL"/>
              </w:rPr>
              <w:t>7-2019</w:t>
            </w:r>
          </w:p>
          <w:p w:rsidR="00125455" w:rsidRPr="004C4B5F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125455" w:rsidRPr="004C4B5F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125455" w:rsidRPr="00EA7E8C" w:rsidRDefault="00125455" w:rsidP="00A3175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7E8C">
              <w:rPr>
                <w:rFonts w:ascii="Arial" w:hAnsi="Arial" w:cs="Arial"/>
                <w:sz w:val="18"/>
                <w:szCs w:val="18"/>
                <w:lang w:eastAsia="pl-PL"/>
              </w:rPr>
              <w:t>09-2019</w:t>
            </w:r>
          </w:p>
          <w:p w:rsidR="00125455" w:rsidRPr="003D23E2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125455" w:rsidRPr="00104BC9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125455" w:rsidRPr="00104BC9" w:rsidRDefault="00125455" w:rsidP="00A3175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Przesunięcie w realizacji tego kamienia milowego jest konsekwencją przesunięcia realizacji poprzedniego k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>mienia milowego. W okresie październik - grudzień dok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nano odbioru jakościowego (dn. 01.10.2018) sprzętu komputerowego zakupion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go w ramach postępowania przetargowego. </w:t>
            </w:r>
          </w:p>
          <w:p w:rsidR="00125455" w:rsidRPr="00104BC9" w:rsidRDefault="00125455" w:rsidP="00A3175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Dokonano odbioru ilości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wego (dn. 26.10.2018) i jakościowego (dn. 02.11.2018) sprzętu fotogr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>ficznego zakupionego w ramach postępowania prz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targowego. </w:t>
            </w:r>
          </w:p>
          <w:p w:rsidR="00125455" w:rsidRPr="00104BC9" w:rsidRDefault="00125455" w:rsidP="00A3175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Dokonano odbioru ilości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wego (dn. 08.11.2018) i jakościowego (dn. 09.11.2018) trzech skanerów dziełowych zakupionych w ramach postępowania prz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>targowego. Skanery po o</w:t>
            </w:r>
            <w:r w:rsidRPr="00104BC9">
              <w:rPr>
                <w:rFonts w:ascii="Arial" w:hAnsi="Arial" w:cs="Arial"/>
                <w:sz w:val="18"/>
                <w:szCs w:val="18"/>
              </w:rPr>
              <w:t>d</w:t>
            </w:r>
            <w:r w:rsidRPr="00104BC9">
              <w:rPr>
                <w:rFonts w:ascii="Arial" w:hAnsi="Arial" w:cs="Arial"/>
                <w:sz w:val="18"/>
                <w:szCs w:val="18"/>
              </w:rPr>
              <w:t>biorach trafiły bezpośrednio do jednostek:</w:t>
            </w:r>
          </w:p>
          <w:p w:rsidR="00125455" w:rsidRPr="00104BC9" w:rsidRDefault="00125455" w:rsidP="00A3175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 xml:space="preserve">- Pracowni Historii Kartografii Zakładu Geoinformatyki i Kartografii, </w:t>
            </w:r>
          </w:p>
          <w:p w:rsidR="00125455" w:rsidRPr="00104BC9" w:rsidRDefault="00125455" w:rsidP="00A3175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 Biblioteki Instytutu Hist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rycznego,</w:t>
            </w:r>
          </w:p>
          <w:p w:rsidR="00125455" w:rsidRPr="00104BC9" w:rsidRDefault="00125455" w:rsidP="00A3175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 Archiwum Uniwersytetu Wrocławskiego.</w:t>
            </w:r>
          </w:p>
          <w:p w:rsidR="00125455" w:rsidRPr="00104BC9" w:rsidRDefault="00125455" w:rsidP="00A3175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Po odbiorach odbyło się również szkolenie osób z jednostek z zakresu obsługi skanerów. Stanowiska do digitalizacji ww. jednostkach zostały zatem uruchomione.</w:t>
            </w:r>
          </w:p>
          <w:p w:rsidR="00125455" w:rsidRPr="00104BC9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audyt bezpi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czeństwa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125455" w:rsidRPr="00104BC9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</w:t>
            </w:r>
            <w:r w:rsidRPr="00104BC9">
              <w:rPr>
                <w:rFonts w:ascii="Arial" w:hAnsi="Arial" w:cs="Arial"/>
                <w:sz w:val="18"/>
                <w:szCs w:val="18"/>
                <w:lang w:eastAsia="pl-PL"/>
              </w:rPr>
              <w:t>-201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</w:p>
          <w:p w:rsidR="00125455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125455" w:rsidRPr="00EA7E8C" w:rsidRDefault="00125455" w:rsidP="00A3175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7E8C">
              <w:rPr>
                <w:rFonts w:ascii="Arial" w:hAnsi="Arial" w:cs="Arial"/>
                <w:sz w:val="18"/>
                <w:szCs w:val="18"/>
                <w:lang w:eastAsia="pl-PL"/>
              </w:rPr>
              <w:t>10 -2019</w:t>
            </w:r>
          </w:p>
          <w:p w:rsidR="00125455" w:rsidRPr="00D9431D" w:rsidRDefault="00125455" w:rsidP="00A3175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125455" w:rsidRPr="00104BC9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125455" w:rsidRPr="00104BC9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Przesunięto terminy realiz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>cji kamienia milowego, ze względu na fakt, że pierwo</w:t>
            </w:r>
            <w:r w:rsidRPr="00104BC9">
              <w:rPr>
                <w:rFonts w:ascii="Arial" w:hAnsi="Arial" w:cs="Arial"/>
                <w:sz w:val="18"/>
                <w:szCs w:val="18"/>
              </w:rPr>
              <w:t>t</w:t>
            </w:r>
            <w:r w:rsidRPr="00104BC9">
              <w:rPr>
                <w:rFonts w:ascii="Arial" w:hAnsi="Arial" w:cs="Arial"/>
                <w:sz w:val="18"/>
                <w:szCs w:val="18"/>
              </w:rPr>
              <w:t>ne terminy nie były dostos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wane do rzeczywistych p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trzeb związanych z realizacją projektu. W celu uaktualni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nia harmonogramu realizacji projektu Uczelnia wystąpiła do Centrum Projektów Polski Cyfrowej. </w:t>
            </w:r>
            <w:r>
              <w:rPr>
                <w:rFonts w:ascii="Arial" w:hAnsi="Arial" w:cs="Arial"/>
                <w:sz w:val="18"/>
                <w:szCs w:val="18"/>
              </w:rPr>
              <w:t>Była z</w:t>
            </w:r>
            <w:r w:rsidRPr="00104BC9">
              <w:rPr>
                <w:rFonts w:ascii="Arial" w:hAnsi="Arial" w:cs="Arial"/>
                <w:sz w:val="18"/>
                <w:szCs w:val="18"/>
              </w:rPr>
              <w:t>goda CPPC</w:t>
            </w:r>
            <w:r>
              <w:rPr>
                <w:rFonts w:ascii="Arial" w:hAnsi="Arial" w:cs="Arial"/>
                <w:sz w:val="18"/>
                <w:szCs w:val="18"/>
              </w:rPr>
              <w:t xml:space="preserve"> na przesunięcie terminu na 30.04.2019. Przesunięcie terminu osiągnięcia kamienia 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wynikał z tego, że przygot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wanie Opisu Przedmiotu Zamówienia wydłużyło się. Opis okazał się bardziej pracochłonny i jego przyg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towanie zajęło więcej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czas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niż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zakładaliśmy. Dodatkowo po ogłoszeniu przetargu potencjalni oferenci zadawali wiele pytań, co spowodowało przesunięcie terminu ogł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szenia wyboru wykonawcy. Ostatecznie 9 września 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stał wyłoniony wykonawca </w:t>
            </w:r>
            <w:r w:rsidRPr="00A6084C">
              <w:rPr>
                <w:rFonts w:ascii="Arial" w:hAnsi="Arial" w:cs="Arial"/>
                <w:sz w:val="18"/>
                <w:szCs w:val="18"/>
              </w:rPr>
              <w:t>usługi, a u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mowa z wykona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w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cą -firmą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Volvox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Consulting Bartłomiej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Czauderna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zost</w:t>
            </w:r>
            <w:r w:rsidRPr="00A6084C">
              <w:rPr>
                <w:rFonts w:ascii="Arial" w:hAnsi="Arial" w:cs="Arial"/>
                <w:sz w:val="18"/>
                <w:szCs w:val="18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</w:rPr>
              <w:t>ła podpisana 15.10.2019r.</w:t>
            </w: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Przeprowadzenie audytu bezpieczeństwa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3-2020</w:t>
            </w:r>
          </w:p>
        </w:tc>
        <w:tc>
          <w:tcPr>
            <w:tcW w:w="1824" w:type="dxa"/>
          </w:tcPr>
          <w:p w:rsidR="00125455" w:rsidRPr="0083039B" w:rsidRDefault="00125455" w:rsidP="00A3175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125455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:rsidR="00125455" w:rsidRPr="00672FCB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Kamień milowy nie został osiągnięty w pierwotnie zaplanowanym terminie, czyli w pierwszym kwartale tego roku, ze względu na przesunięcia zaplanowanych terminów realizacji zam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ó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wienia na stworzenie pla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formy. P</w:t>
            </w:r>
            <w:r w:rsidRPr="00672FCB">
              <w:rPr>
                <w:rFonts w:ascii="Arial" w:hAnsi="Arial" w:cs="Arial"/>
                <w:sz w:val="18"/>
                <w:szCs w:val="18"/>
                <w:lang w:eastAsia="pl-PL"/>
              </w:rPr>
              <w:t>rze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targ</w:t>
            </w:r>
            <w:r w:rsidRPr="00672F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na audyt bezpieczeń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stwa przeprow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dzono</w:t>
            </w:r>
            <w:r w:rsidRPr="00672F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 zakończonym po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stępowaniu na</w:t>
            </w:r>
            <w:r w:rsidRPr="00672F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stworze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nie</w:t>
            </w:r>
            <w:r w:rsidRPr="00672F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platformy cyfrowej </w:t>
            </w:r>
            <w:proofErr w:type="spellStart"/>
            <w:r w:rsidRPr="00672FCB">
              <w:rPr>
                <w:rFonts w:ascii="Arial" w:hAnsi="Arial" w:cs="Arial"/>
                <w:sz w:val="18"/>
                <w:szCs w:val="18"/>
                <w:lang w:eastAsia="pl-PL"/>
              </w:rPr>
              <w:t>www</w:t>
            </w:r>
            <w:proofErr w:type="spellEnd"/>
            <w:r w:rsidRPr="00672F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służącej integracji narzędzi wyszukiwawczych dla ud</w:t>
            </w:r>
            <w:r w:rsidRPr="00672FC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672F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stępnianych elektronicznych zasobów Uniwersytetu.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Obecny harmonogram prz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prowadzenia audytu uzgo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niony z firmą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Volvox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uwzględnia zakoń</w:t>
            </w:r>
            <w:r w:rsidR="004C0DFB">
              <w:rPr>
                <w:rFonts w:ascii="Arial" w:hAnsi="Arial" w:cs="Arial"/>
                <w:sz w:val="18"/>
                <w:szCs w:val="18"/>
                <w:lang w:eastAsia="pl-PL"/>
              </w:rPr>
              <w:t>czenie usługi pod koniec paździe</w:t>
            </w:r>
            <w:r w:rsidR="004C0DFB">
              <w:rPr>
                <w:rFonts w:ascii="Arial" w:hAnsi="Arial" w:cs="Arial"/>
                <w:sz w:val="18"/>
                <w:szCs w:val="18"/>
                <w:lang w:eastAsia="pl-PL"/>
              </w:rPr>
              <w:t>r</w:t>
            </w:r>
            <w:r w:rsidR="004C0DFB">
              <w:rPr>
                <w:rFonts w:ascii="Arial" w:hAnsi="Arial" w:cs="Arial"/>
                <w:sz w:val="18"/>
                <w:szCs w:val="18"/>
                <w:lang w:eastAsia="pl-PL"/>
              </w:rPr>
              <w:t>nika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 Termin</w:t>
            </w:r>
            <w:r w:rsidR="00DE62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ten</w:t>
            </w:r>
            <w:r w:rsidR="004C0D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uległ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zmi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nie, ze względu na to, że wykonawca platformy zwrócił się z prośbą o przesunięcie wdrożenia o dwa miesiące z powodu sytuacji </w:t>
            </w:r>
            <w:r w:rsidR="00DE6275">
              <w:rPr>
                <w:rFonts w:ascii="Arial" w:hAnsi="Arial" w:cs="Arial"/>
                <w:sz w:val="18"/>
                <w:szCs w:val="18"/>
                <w:lang w:eastAsia="pl-PL"/>
              </w:rPr>
              <w:t>epidemiol</w:t>
            </w:r>
            <w:r w:rsidR="00DE6275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="00DE62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gicznej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 kraju.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zaleceń audytu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125455" w:rsidRPr="0083039B" w:rsidRDefault="004C0DFB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125455" w:rsidRPr="0083039B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824" w:type="dxa"/>
          </w:tcPr>
          <w:p w:rsidR="00125455" w:rsidRPr="0083039B" w:rsidRDefault="00125455" w:rsidP="00A3175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125455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Zakładamy zmianę planow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nej daty osiągnięcia kami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nia. Zmiana planowanej daty wdrożeń zaleceń audytu jest spowodowana zmianami terminów przeprowadzenia audytu.</w:t>
            </w: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realizacje port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lu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LEOPOLDINA-on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line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9C4198" w:rsidP="009C41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125455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-201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125455" w:rsidRPr="0031681D" w:rsidRDefault="00125455" w:rsidP="00A3175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1681D">
              <w:rPr>
                <w:rFonts w:ascii="Arial" w:hAnsi="Arial"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552" w:type="dxa"/>
          </w:tcPr>
          <w:p w:rsidR="00125455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125455" w:rsidRPr="001B1F90" w:rsidRDefault="00125455" w:rsidP="00A31753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1B1F90">
              <w:rPr>
                <w:rFonts w:ascii="Arial" w:hAnsi="Arial" w:cs="Arial"/>
                <w:sz w:val="18"/>
                <w:szCs w:val="18"/>
              </w:rPr>
              <w:t>Opóźnienia w osiągnięciu kamienia milowego wynikały z sytuacji opisanej poniżej.</w:t>
            </w:r>
          </w:p>
          <w:p w:rsidR="00125455" w:rsidRPr="00BA3DB0" w:rsidRDefault="00125455" w:rsidP="00A31753">
            <w:pPr>
              <w:pStyle w:val="HTML-wstpniesformatowany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1F90">
              <w:rPr>
                <w:rFonts w:ascii="Arial" w:hAnsi="Arial" w:cs="Arial"/>
                <w:sz w:val="18"/>
                <w:szCs w:val="18"/>
              </w:rPr>
              <w:t xml:space="preserve">15 stycznia </w:t>
            </w:r>
            <w:proofErr w:type="spellStart"/>
            <w:r w:rsidRPr="001B1F90">
              <w:rPr>
                <w:rFonts w:ascii="Arial" w:hAnsi="Arial" w:cs="Arial"/>
                <w:sz w:val="18"/>
                <w:szCs w:val="18"/>
              </w:rPr>
              <w:t>UWr</w:t>
            </w:r>
            <w:proofErr w:type="spellEnd"/>
            <w:r w:rsidRPr="001B1F90">
              <w:rPr>
                <w:rFonts w:ascii="Arial" w:hAnsi="Arial" w:cs="Arial"/>
                <w:sz w:val="18"/>
                <w:szCs w:val="18"/>
              </w:rPr>
              <w:t xml:space="preserve"> zmienił treść ogłoszenia zamówienia na </w:t>
            </w:r>
            <w:r w:rsidRPr="001B1F90">
              <w:rPr>
                <w:rFonts w:ascii="Arial" w:hAnsi="Arial" w:cs="Arial"/>
                <w:iCs/>
                <w:sz w:val="18"/>
                <w:szCs w:val="18"/>
              </w:rPr>
              <w:t>"</w:t>
            </w:r>
            <w:r w:rsidRPr="001B1F9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 xml:space="preserve">Stworzenie platformy </w:t>
            </w:r>
            <w:r w:rsidRPr="001B1F9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lastRenderedPageBreak/>
              <w:t>cyfrowej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 xml:space="preserve"> WWW służącej integracji narzędzi wysz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u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kiwawczych dla udostę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p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nianych elektronicznych zasobów Uniwersytetu Wrocławskiego”</w:t>
            </w:r>
            <w:r w:rsidRPr="00BA3DB0">
              <w:rPr>
                <w:rFonts w:ascii="Arial" w:hAnsi="Arial" w:cs="Arial"/>
                <w:sz w:val="18"/>
                <w:szCs w:val="18"/>
              </w:rPr>
              <w:t>, ze wzgl</w:t>
            </w:r>
            <w:r w:rsidRPr="00BA3DB0">
              <w:rPr>
                <w:rFonts w:ascii="Arial" w:hAnsi="Arial" w:cs="Arial"/>
                <w:sz w:val="18"/>
                <w:szCs w:val="18"/>
              </w:rPr>
              <w:t>ę</w:t>
            </w:r>
            <w:r w:rsidRPr="00BA3DB0">
              <w:rPr>
                <w:rFonts w:ascii="Arial" w:hAnsi="Arial" w:cs="Arial"/>
                <w:sz w:val="18"/>
                <w:szCs w:val="18"/>
              </w:rPr>
              <w:t>du na fakt, że ze strony oferentów wpłynęło bardzo dużo pytań zmienione zost</w:t>
            </w:r>
            <w:r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Pr="00BA3DB0">
              <w:rPr>
                <w:rFonts w:ascii="Arial" w:hAnsi="Arial" w:cs="Arial"/>
                <w:sz w:val="18"/>
                <w:szCs w:val="18"/>
              </w:rPr>
              <w:t>ły zapisy umowy i SIWZ. Termin składania ofert został wydłużony do 24 stycznia. 21 stycznia wpłynęły kolejne zapytania od oferentów, w wyniku których termin skł</w:t>
            </w:r>
            <w:r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Pr="00BA3DB0">
              <w:rPr>
                <w:rFonts w:ascii="Arial" w:hAnsi="Arial" w:cs="Arial"/>
                <w:sz w:val="18"/>
                <w:szCs w:val="18"/>
              </w:rPr>
              <w:t>dania ofert został przeni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>siony na 2 lutego. 23 styc</w:t>
            </w:r>
            <w:r w:rsidRPr="00BA3DB0">
              <w:rPr>
                <w:rFonts w:ascii="Arial" w:hAnsi="Arial" w:cs="Arial"/>
                <w:sz w:val="18"/>
                <w:szCs w:val="18"/>
              </w:rPr>
              <w:t>z</w:t>
            </w:r>
            <w:r w:rsidRPr="00BA3DB0">
              <w:rPr>
                <w:rFonts w:ascii="Arial" w:hAnsi="Arial" w:cs="Arial"/>
                <w:sz w:val="18"/>
                <w:szCs w:val="18"/>
              </w:rPr>
              <w:t>nia wpłynęły kolejne pytania i termin składania ofert prz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>niesiono na 8 lutego. Kolejny termin składania ofert w</w:t>
            </w:r>
            <w:r w:rsidRPr="00BA3DB0">
              <w:rPr>
                <w:rFonts w:ascii="Arial" w:hAnsi="Arial" w:cs="Arial"/>
                <w:sz w:val="18"/>
                <w:szCs w:val="18"/>
              </w:rPr>
              <w:t>y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znaczono na 11 lutego, ponownie po interwencji oferentów. 11 lutego otwarto oferty i 13 lutego ogłoszono o wyborze najkorzystniejszej oferty. Najkorzystniejszą ofertę złożyło konsorcjum składające się z Instytutu Chemii Bioorganicznej PAN Poznańskie Centrum </w:t>
            </w:r>
            <w:proofErr w:type="spellStart"/>
            <w:r w:rsidRPr="00BA3DB0">
              <w:rPr>
                <w:rFonts w:ascii="Arial" w:hAnsi="Arial" w:cs="Arial"/>
                <w:sz w:val="18"/>
                <w:szCs w:val="18"/>
              </w:rPr>
              <w:t>Sup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>komputerowo-Sieciowe</w:t>
            </w:r>
            <w:proofErr w:type="spellEnd"/>
            <w:r w:rsidRPr="00BA3DB0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BA3DB0">
              <w:rPr>
                <w:rFonts w:ascii="Arial" w:hAnsi="Arial" w:cs="Arial"/>
                <w:sz w:val="18"/>
                <w:szCs w:val="18"/>
              </w:rPr>
              <w:t>Arch-Info</w:t>
            </w:r>
            <w:proofErr w:type="spellEnd"/>
            <w:r w:rsidRPr="00BA3DB0">
              <w:rPr>
                <w:rFonts w:ascii="Arial" w:hAnsi="Arial" w:cs="Arial"/>
                <w:sz w:val="18"/>
                <w:szCs w:val="18"/>
              </w:rPr>
              <w:t xml:space="preserve"> Jakub Ławniczak. </w:t>
            </w:r>
          </w:p>
          <w:p w:rsidR="00125455" w:rsidRPr="00BA3DB0" w:rsidRDefault="00125455" w:rsidP="00A31753">
            <w:pPr>
              <w:pStyle w:val="HTML-wstpniesformatowany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DB0">
              <w:rPr>
                <w:rFonts w:ascii="Arial" w:hAnsi="Arial" w:cs="Arial"/>
                <w:sz w:val="18"/>
                <w:szCs w:val="18"/>
              </w:rPr>
              <w:t>Podpisanie umowy nastąpiło   1 kwietnia.</w:t>
            </w:r>
          </w:p>
          <w:p w:rsidR="00125455" w:rsidRPr="00550928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Dostawa, uruchomienie i testowanie portalu</w:t>
            </w:r>
          </w:p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LEOPOLDINA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online</w:t>
            </w:r>
            <w:proofErr w:type="spellEnd"/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3, </w:t>
            </w:r>
          </w:p>
          <w:p w:rsidR="00125455" w:rsidRPr="0083039B" w:rsidRDefault="00097EB1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23 </w:t>
            </w:r>
            <w:r w:rsidR="00125455" w:rsidRPr="0083039B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25455" w:rsidRPr="0083039B">
              <w:rPr>
                <w:rFonts w:ascii="Arial" w:hAnsi="Arial" w:cs="Arial"/>
                <w:sz w:val="18"/>
                <w:szCs w:val="18"/>
              </w:rPr>
              <w:t>5 szt.,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14  szt.</w:t>
            </w:r>
          </w:p>
        </w:tc>
        <w:tc>
          <w:tcPr>
            <w:tcW w:w="1306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824" w:type="dxa"/>
          </w:tcPr>
          <w:p w:rsidR="00125455" w:rsidRPr="0083039B" w:rsidRDefault="00125455" w:rsidP="00A3175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2-2020</w:t>
            </w:r>
          </w:p>
        </w:tc>
        <w:tc>
          <w:tcPr>
            <w:tcW w:w="2552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Modyfikacja oprogramow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nia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dLibra</w:t>
            </w:r>
            <w:proofErr w:type="spellEnd"/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125455" w:rsidRPr="0083039B" w:rsidRDefault="0001478A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125455" w:rsidRPr="0083039B">
              <w:rPr>
                <w:rFonts w:ascii="Arial" w:hAnsi="Arial" w:cs="Arial"/>
                <w:sz w:val="18"/>
                <w:szCs w:val="18"/>
              </w:rPr>
              <w:t xml:space="preserve">  szt..</w:t>
            </w:r>
          </w:p>
        </w:tc>
        <w:tc>
          <w:tcPr>
            <w:tcW w:w="1306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83039B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824" w:type="dxa"/>
          </w:tcPr>
          <w:p w:rsidR="00125455" w:rsidRPr="0083039B" w:rsidRDefault="00DE627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4-2020</w:t>
            </w:r>
          </w:p>
        </w:tc>
        <w:tc>
          <w:tcPr>
            <w:tcW w:w="2552" w:type="dxa"/>
          </w:tcPr>
          <w:p w:rsidR="00125455" w:rsidRDefault="00DE627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Rozszerzenie funkcjonaln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ści programu Midas</w:t>
            </w:r>
          </w:p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Browser</w:t>
            </w:r>
            <w:proofErr w:type="spellEnd"/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125455" w:rsidRPr="0083039B" w:rsidRDefault="00097EB1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25455" w:rsidRPr="0083039B">
              <w:rPr>
                <w:rFonts w:ascii="Arial" w:hAnsi="Arial" w:cs="Arial"/>
                <w:sz w:val="18"/>
                <w:szCs w:val="18"/>
              </w:rPr>
              <w:t xml:space="preserve">  szt..</w:t>
            </w:r>
          </w:p>
        </w:tc>
        <w:tc>
          <w:tcPr>
            <w:tcW w:w="1306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9-2019</w:t>
            </w:r>
          </w:p>
        </w:tc>
        <w:tc>
          <w:tcPr>
            <w:tcW w:w="1824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9-2019</w:t>
            </w:r>
          </w:p>
        </w:tc>
        <w:tc>
          <w:tcPr>
            <w:tcW w:w="2552" w:type="dxa"/>
          </w:tcPr>
          <w:p w:rsidR="00125455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125455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Wdrożenie ICA ATOM w Archiwum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UWr</w:t>
            </w:r>
            <w:proofErr w:type="spellEnd"/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125455" w:rsidRPr="0083039B" w:rsidRDefault="00097EB1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25455" w:rsidRPr="0083039B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8-2019</w:t>
            </w:r>
          </w:p>
        </w:tc>
        <w:tc>
          <w:tcPr>
            <w:tcW w:w="1824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8-2019</w:t>
            </w:r>
          </w:p>
        </w:tc>
        <w:tc>
          <w:tcPr>
            <w:tcW w:w="2552" w:type="dxa"/>
          </w:tcPr>
          <w:p w:rsidR="00125455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455" w:rsidRPr="0083039B" w:rsidTr="00A31753">
        <w:tc>
          <w:tcPr>
            <w:tcW w:w="2497" w:type="dxa"/>
          </w:tcPr>
          <w:p w:rsidR="00125455" w:rsidRPr="008C659D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C659D">
              <w:rPr>
                <w:rFonts w:ascii="Arial" w:hAnsi="Arial" w:cs="Arial"/>
                <w:sz w:val="18"/>
                <w:szCs w:val="18"/>
              </w:rPr>
              <w:t>Wdrożenie oprogramowania SIN (system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C659D">
              <w:rPr>
                <w:rFonts w:ascii="Arial" w:hAnsi="Arial" w:cs="Arial"/>
                <w:sz w:val="18"/>
                <w:szCs w:val="18"/>
              </w:rPr>
              <w:t>informacji naukowej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5-2020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1-2020</w:t>
            </w:r>
          </w:p>
        </w:tc>
        <w:tc>
          <w:tcPr>
            <w:tcW w:w="2552" w:type="dxa"/>
          </w:tcPr>
          <w:p w:rsidR="00125455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oprogramowania wirtualnego laboratorium translacji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125455" w:rsidRPr="0083039B" w:rsidRDefault="00125455" w:rsidP="009C419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83039B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824" w:type="dxa"/>
          </w:tcPr>
          <w:p w:rsidR="00125455" w:rsidRPr="0083039B" w:rsidRDefault="004C0DFB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DE6275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2552" w:type="dxa"/>
          </w:tcPr>
          <w:p w:rsidR="00125455" w:rsidRDefault="00DE627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125455" w:rsidRPr="0083039B" w:rsidRDefault="00DE6275" w:rsidP="00DE62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125455">
              <w:rPr>
                <w:rFonts w:ascii="Arial" w:hAnsi="Arial" w:cs="Arial"/>
                <w:sz w:val="18"/>
                <w:szCs w:val="18"/>
              </w:rPr>
              <w:t>miana planowanego term</w:t>
            </w:r>
            <w:r w:rsidR="00125455">
              <w:rPr>
                <w:rFonts w:ascii="Arial" w:hAnsi="Arial" w:cs="Arial"/>
                <w:sz w:val="18"/>
                <w:szCs w:val="18"/>
              </w:rPr>
              <w:t>i</w:t>
            </w:r>
            <w:r w:rsidR="00125455">
              <w:rPr>
                <w:rFonts w:ascii="Arial" w:hAnsi="Arial" w:cs="Arial"/>
                <w:sz w:val="18"/>
                <w:szCs w:val="18"/>
              </w:rPr>
              <w:t>nu osiągnięcia ka</w:t>
            </w:r>
            <w:r>
              <w:rPr>
                <w:rFonts w:ascii="Arial" w:hAnsi="Arial" w:cs="Arial"/>
                <w:sz w:val="18"/>
                <w:szCs w:val="18"/>
              </w:rPr>
              <w:t>mienia</w:t>
            </w:r>
            <w:r w:rsidR="00125455">
              <w:rPr>
                <w:rFonts w:ascii="Arial" w:hAnsi="Arial" w:cs="Arial"/>
                <w:sz w:val="18"/>
                <w:szCs w:val="18"/>
              </w:rPr>
              <w:t xml:space="preserve"> wynika z prośby wykonawcy: </w:t>
            </w:r>
            <w:r w:rsidR="00125455" w:rsidRPr="00BA3DB0">
              <w:rPr>
                <w:rFonts w:ascii="Arial" w:hAnsi="Arial" w:cs="Arial"/>
                <w:sz w:val="18"/>
                <w:szCs w:val="18"/>
              </w:rPr>
              <w:t>konsorcjum składające</w:t>
            </w:r>
            <w:r w:rsidR="00125455">
              <w:rPr>
                <w:rFonts w:ascii="Arial" w:hAnsi="Arial" w:cs="Arial"/>
                <w:sz w:val="18"/>
                <w:szCs w:val="18"/>
              </w:rPr>
              <w:t>go</w:t>
            </w:r>
            <w:r w:rsidR="00125455" w:rsidRPr="00BA3DB0">
              <w:rPr>
                <w:rFonts w:ascii="Arial" w:hAnsi="Arial" w:cs="Arial"/>
                <w:sz w:val="18"/>
                <w:szCs w:val="18"/>
              </w:rPr>
              <w:t xml:space="preserve"> się z Instytutu Chemii Bioorg</w:t>
            </w:r>
            <w:r w:rsidR="00125455"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="00125455" w:rsidRPr="00BA3DB0">
              <w:rPr>
                <w:rFonts w:ascii="Arial" w:hAnsi="Arial" w:cs="Arial"/>
                <w:sz w:val="18"/>
                <w:szCs w:val="18"/>
              </w:rPr>
              <w:t xml:space="preserve">nicznej PAN Poznańskie </w:t>
            </w:r>
            <w:r w:rsidR="00125455" w:rsidRPr="00BA3DB0">
              <w:rPr>
                <w:rFonts w:ascii="Arial" w:hAnsi="Arial" w:cs="Arial"/>
                <w:sz w:val="18"/>
                <w:szCs w:val="18"/>
              </w:rPr>
              <w:lastRenderedPageBreak/>
              <w:t xml:space="preserve">Centrum </w:t>
            </w:r>
            <w:proofErr w:type="spellStart"/>
            <w:r w:rsidR="00125455" w:rsidRPr="00BA3DB0">
              <w:rPr>
                <w:rFonts w:ascii="Arial" w:hAnsi="Arial" w:cs="Arial"/>
                <w:sz w:val="18"/>
                <w:szCs w:val="18"/>
              </w:rPr>
              <w:t>Supekomputerowo-Sieciowe</w:t>
            </w:r>
            <w:proofErr w:type="spellEnd"/>
            <w:r w:rsidR="00125455" w:rsidRPr="00BA3DB0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="00125455" w:rsidRPr="00BA3DB0">
              <w:rPr>
                <w:rFonts w:ascii="Arial" w:hAnsi="Arial" w:cs="Arial"/>
                <w:sz w:val="18"/>
                <w:szCs w:val="18"/>
              </w:rPr>
              <w:t>Arch-Info</w:t>
            </w:r>
            <w:proofErr w:type="spellEnd"/>
            <w:r w:rsidR="00125455" w:rsidRPr="00BA3DB0">
              <w:rPr>
                <w:rFonts w:ascii="Arial" w:hAnsi="Arial" w:cs="Arial"/>
                <w:sz w:val="18"/>
                <w:szCs w:val="18"/>
              </w:rPr>
              <w:t xml:space="preserve"> Jakub Ławniczak</w:t>
            </w:r>
            <w:r w:rsidR="00125455">
              <w:rPr>
                <w:rFonts w:ascii="Arial" w:hAnsi="Arial" w:cs="Arial"/>
                <w:sz w:val="18"/>
                <w:szCs w:val="18"/>
              </w:rPr>
              <w:t>. Prośba była uzasadniona obecną syt</w:t>
            </w:r>
            <w:r w:rsidR="00125455">
              <w:rPr>
                <w:rFonts w:ascii="Arial" w:hAnsi="Arial" w:cs="Arial"/>
                <w:sz w:val="18"/>
                <w:szCs w:val="18"/>
              </w:rPr>
              <w:t>u</w:t>
            </w:r>
            <w:r w:rsidR="00125455">
              <w:rPr>
                <w:rFonts w:ascii="Arial" w:hAnsi="Arial" w:cs="Arial"/>
                <w:sz w:val="18"/>
                <w:szCs w:val="18"/>
              </w:rPr>
              <w:t xml:space="preserve">acją epidemiologiczną w kraju. Ze względu na </w:t>
            </w:r>
            <w:r>
              <w:rPr>
                <w:rFonts w:ascii="Arial" w:hAnsi="Arial" w:cs="Arial"/>
                <w:sz w:val="18"/>
                <w:szCs w:val="18"/>
              </w:rPr>
              <w:t>arg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mentację</w:t>
            </w:r>
            <w:r w:rsidR="00125455">
              <w:rPr>
                <w:rFonts w:ascii="Arial" w:hAnsi="Arial" w:cs="Arial"/>
                <w:sz w:val="18"/>
                <w:szCs w:val="18"/>
              </w:rPr>
              <w:t xml:space="preserve"> wyraziliśmy zgodę na przesunięcie terminu z maja na czerwiec.</w:t>
            </w: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Przetarg na adaptację p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mieszczeń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824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11.2018</w:t>
            </w:r>
          </w:p>
        </w:tc>
        <w:tc>
          <w:tcPr>
            <w:tcW w:w="2552" w:type="dxa"/>
          </w:tcPr>
          <w:p w:rsidR="00125455" w:rsidRPr="00D432F7" w:rsidRDefault="00125455" w:rsidP="00A31753">
            <w:pPr>
              <w:spacing w:after="160" w:line="259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Osiągnięty</w:t>
            </w:r>
          </w:p>
          <w:p w:rsidR="00125455" w:rsidRPr="00A4161F" w:rsidRDefault="00125455" w:rsidP="00A31753">
            <w:pPr>
              <w:autoSpaceDE w:val="0"/>
              <w:autoSpaceDN w:val="0"/>
              <w:adjustRightInd w:val="0"/>
              <w:jc w:val="both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Zamówienie 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było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realizow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ne w formule "zaprojektuj i wybuduj".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Przesunięcie real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i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zacji kamienia było wynikiem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proble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mów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wybo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rem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y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konawcy Programu Funkcj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nalno-Użytkowego przyg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towywanym pod adaptację. Firma z najkorzystniejszą ofertą złożyła niewłaściwe dokumenty (nie była w stanie udowodnić posiadanego doświadczenia), ostatecznie 04.04.2018 r. wybrano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firmę, z którą podpisano umowę.12 lipca firma dostarczyła opr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cowanie.</w:t>
            </w:r>
          </w:p>
          <w:p w:rsidR="00125455" w:rsidRPr="00A4161F" w:rsidRDefault="00125455" w:rsidP="00A3175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29 sierpnia ogłoszono p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stępowanie przetargowe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adaptację pomieszczeń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. Planowany termin otwarcia ofert określono na 20 wrz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e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śnia 2018 r.</w:t>
            </w:r>
            <w:r w:rsidRPr="00A4161F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125455" w:rsidRPr="00A4161F" w:rsidRDefault="00125455" w:rsidP="00A3175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Do 7 września wpłynęły pytania od firmy Fast-</w:t>
            </w:r>
            <w:r w:rsidRPr="00A4161F">
              <w:rPr>
                <w:rStyle w:val="spellingerror"/>
                <w:rFonts w:ascii="Arial" w:hAnsi="Arial" w:cs="Arial"/>
                <w:sz w:val="18"/>
                <w:szCs w:val="18"/>
              </w:rPr>
              <w:t>Group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Warszawy i 14 września opublikowano odpowiedzi na zadane pytania. W ich wyn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i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ku przesunięto termin skł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dania ofert na 24 września. Do tego terminu wpłynęła tylko jedna oferta, o wartości 1 199 998,00 zł brutto. W związku z tym, że zaofer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wana kwota przekracza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ła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budżet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to zadanie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o 434 805 zł zaplanowane w pr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jekcie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,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pod koniec września JM Rektor podjął decyzję o uzupełnieniu środków z budżetu uczelni.</w:t>
            </w:r>
          </w:p>
          <w:p w:rsidR="00125455" w:rsidRPr="00A4161F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Zlecenie nadzoru autorski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go dot. serwerowni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83039B">
              <w:rPr>
                <w:rFonts w:ascii="Arial" w:hAnsi="Arial" w:cs="Arial"/>
                <w:sz w:val="18"/>
                <w:szCs w:val="18"/>
              </w:rPr>
              <w:t>-2018</w:t>
            </w:r>
          </w:p>
        </w:tc>
        <w:tc>
          <w:tcPr>
            <w:tcW w:w="1824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2552" w:type="dxa"/>
          </w:tcPr>
          <w:p w:rsidR="00125455" w:rsidRPr="006C3EF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125455" w:rsidRPr="006C3EFB" w:rsidRDefault="00125455" w:rsidP="00A31753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mowa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dot. 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przebudo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wy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pomieszczeń w budynku Biblioteki Uniwersytetu Wr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cławskiego we Wrocławiu, ul. Joliot-Curie 12 na potrzeby pełnienia funkcji serwerowni dla projektu „</w:t>
            </w:r>
            <w:proofErr w:type="spellStart"/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Leopoldina</w:t>
            </w:r>
            <w:proofErr w:type="spellEnd"/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Online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obejmowała również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wykonanie dokumentacji projektowej. Realizacja z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mówienia odbywa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ła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się w formule "zaprojektuj i wyb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duj.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Zgodnie z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umową wszystkie działania związane z przebudową, w tym nadzór autorski dot. serwerowni powierzono jednemu wyk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nawcy - firmie FAST Group. </w:t>
            </w: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Wykonanie adaptacji p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mieszczeń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7-2019</w:t>
            </w:r>
          </w:p>
        </w:tc>
        <w:tc>
          <w:tcPr>
            <w:tcW w:w="1824" w:type="dxa"/>
          </w:tcPr>
          <w:p w:rsidR="00125455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  <w:p w:rsidR="00125455" w:rsidRPr="00104BC9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125455" w:rsidRPr="006C3EF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125455" w:rsidRPr="006C3EFB" w:rsidRDefault="00125455" w:rsidP="00A3175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w</w:t>
            </w:r>
            <w:r w:rsidRPr="006C3EFB">
              <w:rPr>
                <w:rFonts w:ascii="Arial" w:hAnsi="Arial" w:cs="Arial"/>
                <w:sz w:val="18"/>
                <w:szCs w:val="18"/>
              </w:rPr>
              <w:t xml:space="preserve"> realizacji k</w:t>
            </w:r>
            <w:r w:rsidRPr="006C3EFB">
              <w:rPr>
                <w:rFonts w:ascii="Arial" w:hAnsi="Arial" w:cs="Arial"/>
                <w:sz w:val="18"/>
                <w:szCs w:val="18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</w:rPr>
              <w:t>mienia milowego wynika z faktu, że Wykonawca natrafił na problemy</w:t>
            </w:r>
            <w:r>
              <w:rPr>
                <w:rFonts w:ascii="Arial" w:hAnsi="Arial" w:cs="Arial"/>
                <w:sz w:val="18"/>
                <w:szCs w:val="18"/>
              </w:rPr>
              <w:t xml:space="preserve"> w trakcie prac budowlanych</w:t>
            </w:r>
            <w:r w:rsidRPr="006C3EFB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 xml:space="preserve">Wbrew </w:t>
            </w:r>
            <w:r w:rsidRPr="006C3EFB">
              <w:rPr>
                <w:rFonts w:ascii="Arial" w:hAnsi="Arial" w:cs="Arial"/>
                <w:sz w:val="18"/>
                <w:szCs w:val="18"/>
              </w:rPr>
              <w:t>posi</w:t>
            </w:r>
            <w:r w:rsidRPr="006C3EFB">
              <w:rPr>
                <w:rFonts w:ascii="Arial" w:hAnsi="Arial" w:cs="Arial"/>
                <w:sz w:val="18"/>
                <w:szCs w:val="18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</w:rPr>
              <w:t>danych dokumentów mówi</w:t>
            </w:r>
            <w:r w:rsidRPr="006C3EFB">
              <w:rPr>
                <w:rFonts w:ascii="Arial" w:hAnsi="Arial" w:cs="Arial"/>
                <w:sz w:val="18"/>
                <w:szCs w:val="18"/>
              </w:rPr>
              <w:t>ą</w:t>
            </w:r>
            <w:r w:rsidRPr="006C3EFB">
              <w:rPr>
                <w:rFonts w:ascii="Arial" w:hAnsi="Arial" w:cs="Arial"/>
                <w:sz w:val="18"/>
                <w:szCs w:val="18"/>
              </w:rPr>
              <w:t>cych, że nośność stropu w tej części budynku wynosi 1000 kg/m2, po dokładnych przeliczeniach konstrukcy</w:t>
            </w:r>
            <w:r w:rsidRPr="006C3EFB">
              <w:rPr>
                <w:rFonts w:ascii="Arial" w:hAnsi="Arial" w:cs="Arial"/>
                <w:sz w:val="18"/>
                <w:szCs w:val="18"/>
              </w:rPr>
              <w:t>j</w:t>
            </w:r>
            <w:r w:rsidRPr="006C3EFB">
              <w:rPr>
                <w:rFonts w:ascii="Arial" w:hAnsi="Arial" w:cs="Arial"/>
                <w:sz w:val="18"/>
                <w:szCs w:val="18"/>
              </w:rPr>
              <w:t>nych okaza</w:t>
            </w:r>
            <w:r>
              <w:rPr>
                <w:rFonts w:ascii="Arial" w:hAnsi="Arial" w:cs="Arial"/>
                <w:sz w:val="18"/>
                <w:szCs w:val="18"/>
              </w:rPr>
              <w:t>ło się, że n</w:t>
            </w:r>
            <w:r w:rsidRPr="006C3EFB">
              <w:rPr>
                <w:rFonts w:ascii="Arial" w:hAnsi="Arial" w:cs="Arial"/>
                <w:sz w:val="18"/>
                <w:szCs w:val="18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</w:rPr>
              <w:t>śność stropu jest znacznie mniejsza i konieczne było wzmocnienie konstrukcji. Wykonawca przedstawił poprawiony projekt konce</w:t>
            </w:r>
            <w:r w:rsidRPr="006C3EFB">
              <w:rPr>
                <w:rFonts w:ascii="Arial" w:hAnsi="Arial" w:cs="Arial"/>
                <w:sz w:val="18"/>
                <w:szCs w:val="18"/>
              </w:rPr>
              <w:t>p</w:t>
            </w:r>
            <w:r w:rsidRPr="006C3EFB">
              <w:rPr>
                <w:rFonts w:ascii="Arial" w:hAnsi="Arial" w:cs="Arial"/>
                <w:sz w:val="18"/>
                <w:szCs w:val="18"/>
              </w:rPr>
              <w:t>cyjny. W związku z powy</w:t>
            </w:r>
            <w:r w:rsidRPr="006C3EFB">
              <w:rPr>
                <w:rFonts w:ascii="Arial" w:hAnsi="Arial" w:cs="Arial"/>
                <w:sz w:val="18"/>
                <w:szCs w:val="18"/>
              </w:rPr>
              <w:t>ż</w:t>
            </w:r>
            <w:r w:rsidRPr="006C3EFB">
              <w:rPr>
                <w:rFonts w:ascii="Arial" w:hAnsi="Arial" w:cs="Arial"/>
                <w:sz w:val="18"/>
                <w:szCs w:val="18"/>
              </w:rPr>
              <w:t>szym zmuszeni byliśmy do podpisania aneksu do um</w:t>
            </w:r>
            <w:r w:rsidRPr="006C3EFB">
              <w:rPr>
                <w:rFonts w:ascii="Arial" w:hAnsi="Arial" w:cs="Arial"/>
                <w:sz w:val="18"/>
                <w:szCs w:val="18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</w:rPr>
              <w:t>wy przesuwającego termin zakończenia realizacji zad</w:t>
            </w:r>
            <w:r w:rsidRPr="006C3EFB">
              <w:rPr>
                <w:rFonts w:ascii="Arial" w:hAnsi="Arial" w:cs="Arial"/>
                <w:sz w:val="18"/>
                <w:szCs w:val="18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</w:rPr>
              <w:t>nia</w:t>
            </w:r>
            <w:r>
              <w:rPr>
                <w:rFonts w:ascii="Arial" w:hAnsi="Arial" w:cs="Arial"/>
                <w:sz w:val="18"/>
                <w:szCs w:val="18"/>
              </w:rPr>
              <w:t xml:space="preserve"> do 30 listopada.</w:t>
            </w: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Realizacja działań inform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>cyjnych i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promocyjnych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125455" w:rsidRPr="0083039B" w:rsidRDefault="004C0DFB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125455" w:rsidRPr="0083039B">
              <w:rPr>
                <w:rFonts w:ascii="Arial" w:hAnsi="Arial" w:cs="Arial"/>
                <w:sz w:val="18"/>
                <w:szCs w:val="18"/>
              </w:rPr>
              <w:t>-2020</w:t>
            </w:r>
          </w:p>
        </w:tc>
        <w:tc>
          <w:tcPr>
            <w:tcW w:w="1824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125455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CA2DB7" w:rsidRPr="00A4161F" w:rsidRDefault="00CA2DB7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Uniwersytet</w:t>
            </w:r>
            <w:r w:rsidR="000A61D7">
              <w:rPr>
                <w:rFonts w:ascii="Arial" w:hAnsi="Arial" w:cs="Arial"/>
                <w:sz w:val="18"/>
                <w:szCs w:val="18"/>
              </w:rPr>
              <w:t xml:space="preserve"> Wrocławski przekazał do CPP</w:t>
            </w:r>
            <w:r>
              <w:rPr>
                <w:rFonts w:ascii="Arial" w:hAnsi="Arial" w:cs="Arial"/>
                <w:sz w:val="18"/>
                <w:szCs w:val="18"/>
              </w:rPr>
              <w:t xml:space="preserve"> no</w:t>
            </w:r>
            <w:r w:rsidR="000A61D7">
              <w:rPr>
                <w:rFonts w:ascii="Arial" w:hAnsi="Arial" w:cs="Arial"/>
                <w:sz w:val="18"/>
                <w:szCs w:val="18"/>
              </w:rPr>
              <w:t>wy</w:t>
            </w:r>
            <w:r>
              <w:rPr>
                <w:rFonts w:ascii="Arial" w:hAnsi="Arial" w:cs="Arial"/>
                <w:sz w:val="18"/>
                <w:szCs w:val="18"/>
              </w:rPr>
              <w:t xml:space="preserve"> harmonogra</w:t>
            </w:r>
            <w:r w:rsidR="000A61D7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działań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mocyjnych w projekcie ze względu na wydłużenie real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zacji projektu do 29 stycznia 2021 roku. Wydłużenie real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zacji projektu było podykt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wane sytuacja epidemiol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giczną w kraju.</w:t>
            </w:r>
            <w:r w:rsidR="000A61D7">
              <w:rPr>
                <w:rFonts w:ascii="Arial" w:hAnsi="Arial" w:cs="Arial"/>
                <w:sz w:val="18"/>
                <w:szCs w:val="18"/>
              </w:rPr>
              <w:t xml:space="preserve"> Oczekujemy na podpisanie aneksu do umowy o dofinansowanie.</w:t>
            </w: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sporządz</w:t>
            </w:r>
            <w:r>
              <w:rPr>
                <w:rFonts w:ascii="Arial" w:hAnsi="Arial" w:cs="Arial"/>
                <w:sz w:val="18"/>
                <w:szCs w:val="18"/>
              </w:rPr>
              <w:t>enie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Studium</w:t>
            </w:r>
          </w:p>
          <w:p w:rsidR="00125455" w:rsidRPr="0083039B" w:rsidRDefault="00125455" w:rsidP="00A3175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Wykonalności projektu</w:t>
            </w:r>
          </w:p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1824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2552" w:type="dxa"/>
          </w:tcPr>
          <w:p w:rsidR="00125455" w:rsidRPr="00A4161F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25455" w:rsidRPr="0083039B" w:rsidTr="00A31753">
        <w:tc>
          <w:tcPr>
            <w:tcW w:w="2497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Opracowanie studium W</w:t>
            </w:r>
            <w:r w:rsidRPr="0083039B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konaln</w:t>
            </w:r>
            <w:r w:rsidRPr="000660DC">
              <w:rPr>
                <w:rFonts w:ascii="Arial" w:hAnsi="Arial" w:cs="Arial"/>
                <w:color w:val="000000" w:themeColor="text1"/>
                <w:sz w:val="18"/>
                <w:szCs w:val="18"/>
              </w:rPr>
              <w:t>ości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1824" w:type="dxa"/>
          </w:tcPr>
          <w:p w:rsidR="00125455" w:rsidRPr="0083039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2552" w:type="dxa"/>
          </w:tcPr>
          <w:p w:rsidR="00125455" w:rsidRPr="00A4161F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/>
      </w:tblPr>
      <w:tblGrid>
        <w:gridCol w:w="2545"/>
        <w:gridCol w:w="1278"/>
        <w:gridCol w:w="1842"/>
        <w:gridCol w:w="1701"/>
        <w:gridCol w:w="2268"/>
      </w:tblGrid>
      <w:tr w:rsidR="00125455" w:rsidRPr="009E23C1" w:rsidTr="00A31753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125455" w:rsidRPr="009E23C1" w:rsidRDefault="00125455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125455" w:rsidRPr="009E23C1" w:rsidRDefault="00125455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125455" w:rsidRPr="009E23C1" w:rsidRDefault="00125455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125455" w:rsidRPr="009E23C1" w:rsidRDefault="00125455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125455" w:rsidRPr="009E23C1" w:rsidRDefault="00125455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125455" w:rsidRPr="009E23C1" w:rsidRDefault="00125455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125455" w:rsidRPr="009E23C1" w:rsidTr="00A31753">
        <w:tc>
          <w:tcPr>
            <w:tcW w:w="2545" w:type="dxa"/>
          </w:tcPr>
          <w:p w:rsidR="00125455" w:rsidRPr="00A6084C" w:rsidRDefault="00125455" w:rsidP="00A31753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1.Liczba podmiotów, które udostępniły 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on-line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inform</w:t>
            </w:r>
            <w:r w:rsidRPr="00A6084C">
              <w:rPr>
                <w:rFonts w:ascii="Arial" w:hAnsi="Arial" w:cs="Arial"/>
                <w:sz w:val="18"/>
                <w:szCs w:val="18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</w:rPr>
              <w:t>cje sektora publicznego (wskaźnik produktu)</w:t>
            </w:r>
          </w:p>
        </w:tc>
        <w:tc>
          <w:tcPr>
            <w:tcW w:w="1278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125455" w:rsidRPr="009E23C1" w:rsidTr="00A31753">
        <w:tc>
          <w:tcPr>
            <w:tcW w:w="2545" w:type="dxa"/>
          </w:tcPr>
          <w:p w:rsidR="00125455" w:rsidRPr="00A6084C" w:rsidRDefault="00125455" w:rsidP="00A31753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2. Liczba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dokumentów zawierających </w:t>
            </w:r>
            <w:r w:rsidRPr="00A6084C">
              <w:rPr>
                <w:rFonts w:ascii="Arial" w:hAnsi="Arial" w:cs="Arial"/>
                <w:sz w:val="18"/>
                <w:szCs w:val="18"/>
              </w:rPr>
              <w:lastRenderedPageBreak/>
              <w:t>informacje sektora public</w:t>
            </w:r>
            <w:r w:rsidRPr="00A6084C">
              <w:rPr>
                <w:rFonts w:ascii="Arial" w:hAnsi="Arial" w:cs="Arial"/>
                <w:sz w:val="18"/>
                <w:szCs w:val="18"/>
              </w:rPr>
              <w:t>z</w:t>
            </w:r>
            <w:r w:rsidRPr="00A6084C">
              <w:rPr>
                <w:rFonts w:ascii="Arial" w:hAnsi="Arial" w:cs="Arial"/>
                <w:sz w:val="18"/>
                <w:szCs w:val="18"/>
              </w:rPr>
              <w:t>nego (wskaźnik produktu)</w:t>
            </w:r>
          </w:p>
        </w:tc>
        <w:tc>
          <w:tcPr>
            <w:tcW w:w="1278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842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23 805</w:t>
            </w:r>
          </w:p>
        </w:tc>
        <w:tc>
          <w:tcPr>
            <w:tcW w:w="1701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125455" w:rsidRPr="00A6084C" w:rsidRDefault="004C0DFB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20 000</w:t>
            </w:r>
          </w:p>
        </w:tc>
      </w:tr>
      <w:tr w:rsidR="00125455" w:rsidRPr="009E23C1" w:rsidTr="00A31753">
        <w:tc>
          <w:tcPr>
            <w:tcW w:w="2545" w:type="dxa"/>
          </w:tcPr>
          <w:p w:rsidR="00125455" w:rsidRPr="00A6084C" w:rsidRDefault="00125455" w:rsidP="00A31753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lastRenderedPageBreak/>
              <w:t xml:space="preserve">3. Liczba udostępnionych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on-line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dokumentów zawi</w:t>
            </w:r>
            <w:r w:rsidRPr="00A6084C">
              <w:rPr>
                <w:rFonts w:ascii="Arial" w:hAnsi="Arial" w:cs="Arial"/>
                <w:sz w:val="18"/>
                <w:szCs w:val="18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</w:rPr>
              <w:t>rających informacje sektora publicznego (wskaźnik pr</w:t>
            </w:r>
            <w:r w:rsidRPr="00A6084C">
              <w:rPr>
                <w:rFonts w:ascii="Arial" w:hAnsi="Arial" w:cs="Arial"/>
                <w:sz w:val="18"/>
                <w:szCs w:val="18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</w:rPr>
              <w:t>duktu)</w:t>
            </w:r>
          </w:p>
        </w:tc>
        <w:tc>
          <w:tcPr>
            <w:tcW w:w="1278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23 805</w:t>
            </w:r>
          </w:p>
        </w:tc>
        <w:tc>
          <w:tcPr>
            <w:tcW w:w="1701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125455" w:rsidRPr="00A6084C" w:rsidRDefault="00A609DA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125455" w:rsidRPr="009E23C1" w:rsidTr="00A31753">
        <w:tc>
          <w:tcPr>
            <w:tcW w:w="2545" w:type="dxa"/>
          </w:tcPr>
          <w:p w:rsidR="00125455" w:rsidRPr="00A6084C" w:rsidRDefault="00125455" w:rsidP="00A31753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4. Liczba utworzonych API (wskaźnik produktu)</w:t>
            </w:r>
          </w:p>
        </w:tc>
        <w:tc>
          <w:tcPr>
            <w:tcW w:w="1278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125455" w:rsidRPr="009E23C1" w:rsidTr="00A31753">
        <w:tc>
          <w:tcPr>
            <w:tcW w:w="2545" w:type="dxa"/>
          </w:tcPr>
          <w:p w:rsidR="00125455" w:rsidRPr="00A6084C" w:rsidRDefault="00125455" w:rsidP="00A31753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5. Liczba baz danych ud</w:t>
            </w:r>
            <w:r w:rsidRPr="00A6084C">
              <w:rPr>
                <w:rFonts w:ascii="Arial" w:hAnsi="Arial" w:cs="Arial"/>
                <w:sz w:val="18"/>
                <w:szCs w:val="18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stępnionych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on-line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poprzez API (wskaźnik produktu)</w:t>
            </w:r>
          </w:p>
        </w:tc>
        <w:tc>
          <w:tcPr>
            <w:tcW w:w="1278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701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125455" w:rsidRPr="009E23C1" w:rsidTr="00A31753">
        <w:tc>
          <w:tcPr>
            <w:tcW w:w="2545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6. Rozmiar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informacji sektora publiczn</w:t>
            </w:r>
            <w:r w:rsidRPr="00A6084C">
              <w:rPr>
                <w:rFonts w:ascii="Arial" w:hAnsi="Arial" w:cs="Arial"/>
                <w:sz w:val="18"/>
                <w:szCs w:val="18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</w:rPr>
              <w:t>go (wskaźnik produktu sp</w:t>
            </w:r>
            <w:r w:rsidRPr="00A6084C">
              <w:rPr>
                <w:rFonts w:ascii="Arial" w:hAnsi="Arial" w:cs="Arial"/>
                <w:sz w:val="18"/>
                <w:szCs w:val="18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</w:rPr>
              <w:t>cyficzny dla projektu)</w:t>
            </w:r>
          </w:p>
        </w:tc>
        <w:tc>
          <w:tcPr>
            <w:tcW w:w="1278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01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125455" w:rsidRPr="00A6084C" w:rsidRDefault="005155E5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</w:tr>
      <w:tr w:rsidR="00125455" w:rsidRPr="009E23C1" w:rsidTr="00A31753">
        <w:tc>
          <w:tcPr>
            <w:tcW w:w="2545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7. Rozmiar udostępnionych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on-line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informacji sektora publicznego (wskaźnik pr</w:t>
            </w:r>
            <w:r w:rsidRPr="00A6084C">
              <w:rPr>
                <w:rFonts w:ascii="Arial" w:hAnsi="Arial" w:cs="Arial"/>
                <w:sz w:val="18"/>
                <w:szCs w:val="18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</w:rPr>
              <w:t>duktu specyficzny dla proje</w:t>
            </w:r>
            <w:r w:rsidRPr="00A6084C">
              <w:rPr>
                <w:rFonts w:ascii="Arial" w:hAnsi="Arial" w:cs="Arial"/>
                <w:sz w:val="18"/>
                <w:szCs w:val="18"/>
              </w:rPr>
              <w:t>k</w:t>
            </w:r>
            <w:r w:rsidRPr="00A6084C">
              <w:rPr>
                <w:rFonts w:ascii="Arial" w:hAnsi="Arial" w:cs="Arial"/>
                <w:sz w:val="18"/>
                <w:szCs w:val="18"/>
              </w:rPr>
              <w:t>tu)</w:t>
            </w:r>
          </w:p>
        </w:tc>
        <w:tc>
          <w:tcPr>
            <w:tcW w:w="1278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1701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125455" w:rsidRPr="00A6084C" w:rsidRDefault="00A609DA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125455" w:rsidRPr="009E23C1" w:rsidTr="00A31753">
        <w:tc>
          <w:tcPr>
            <w:tcW w:w="2545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Calibri" w:hAnsi="Arial" w:cs="Arial"/>
                <w:sz w:val="18"/>
                <w:szCs w:val="18"/>
              </w:rPr>
              <w:t xml:space="preserve">8.Liczba pobrań/odtworzeń dokumentów zawierających ISP </w:t>
            </w:r>
            <w:r w:rsidRPr="00A6084C">
              <w:rPr>
                <w:rFonts w:ascii="Arial" w:hAnsi="Arial" w:cs="Arial"/>
                <w:sz w:val="18"/>
                <w:szCs w:val="18"/>
              </w:rPr>
              <w:t>(wskaźnik rezultatu)</w:t>
            </w:r>
          </w:p>
        </w:tc>
        <w:tc>
          <w:tcPr>
            <w:tcW w:w="1278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500 000</w:t>
            </w:r>
          </w:p>
        </w:tc>
        <w:tc>
          <w:tcPr>
            <w:tcW w:w="1701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125455" w:rsidRPr="009E23C1" w:rsidTr="00A31753">
        <w:tc>
          <w:tcPr>
            <w:tcW w:w="2545" w:type="dxa"/>
          </w:tcPr>
          <w:p w:rsidR="00125455" w:rsidRPr="0037552B" w:rsidRDefault="00125455" w:rsidP="00A31753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7552B">
              <w:rPr>
                <w:rFonts w:ascii="Arial" w:eastAsia="Calibri" w:hAnsi="Arial" w:cs="Arial"/>
                <w:sz w:val="18"/>
                <w:szCs w:val="18"/>
              </w:rPr>
              <w:t xml:space="preserve">9. Liczba wygenerowanych kluczy API </w:t>
            </w:r>
            <w:r w:rsidRPr="0037552B">
              <w:rPr>
                <w:rFonts w:ascii="Arial" w:hAnsi="Arial" w:cs="Arial"/>
                <w:sz w:val="18"/>
                <w:szCs w:val="18"/>
              </w:rPr>
              <w:t>(wskaźnik rezu</w:t>
            </w:r>
            <w:r w:rsidRPr="0037552B">
              <w:rPr>
                <w:rFonts w:ascii="Arial" w:hAnsi="Arial" w:cs="Arial"/>
                <w:sz w:val="18"/>
                <w:szCs w:val="18"/>
              </w:rPr>
              <w:t>l</w:t>
            </w:r>
            <w:r w:rsidRPr="0037552B">
              <w:rPr>
                <w:rFonts w:ascii="Arial" w:hAnsi="Arial" w:cs="Arial"/>
                <w:sz w:val="18"/>
                <w:szCs w:val="18"/>
              </w:rPr>
              <w:t>tatu)</w:t>
            </w:r>
          </w:p>
        </w:tc>
        <w:tc>
          <w:tcPr>
            <w:tcW w:w="1278" w:type="dxa"/>
          </w:tcPr>
          <w:p w:rsidR="00125455" w:rsidRPr="0037552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7552B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:rsidR="00125455" w:rsidRPr="0037552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37552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:rsidR="00125455" w:rsidRPr="0037552B" w:rsidRDefault="00125455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7552B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125455" w:rsidRPr="0037552B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37552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/>
      </w:tblPr>
      <w:tblGrid>
        <w:gridCol w:w="2807"/>
        <w:gridCol w:w="1261"/>
        <w:gridCol w:w="1395"/>
        <w:gridCol w:w="4171"/>
      </w:tblGrid>
      <w:tr w:rsidR="00125455" w:rsidRPr="00263506" w:rsidTr="00125455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:rsidR="00125455" w:rsidRPr="00263506" w:rsidRDefault="00125455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125455" w:rsidRPr="00263506" w:rsidRDefault="00125455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125455" w:rsidRPr="00263506" w:rsidRDefault="00125455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:rsidR="00125455" w:rsidRPr="00263506" w:rsidRDefault="00125455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25455" w:rsidRPr="00263506" w:rsidTr="00125455">
        <w:tc>
          <w:tcPr>
            <w:tcW w:w="2807" w:type="dxa"/>
          </w:tcPr>
          <w:p w:rsidR="00125455" w:rsidRPr="00A6084C" w:rsidRDefault="00125455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61" w:type="dxa"/>
          </w:tcPr>
          <w:p w:rsidR="00125455" w:rsidRPr="00263506" w:rsidRDefault="00125455" w:rsidP="00A3175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  <w:p w:rsidR="00125455" w:rsidRPr="00263506" w:rsidRDefault="00125455" w:rsidP="00A31753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:rsidR="00125455" w:rsidRPr="00263506" w:rsidRDefault="00125455" w:rsidP="00A31753">
            <w:pPr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171" w:type="dxa"/>
          </w:tcPr>
          <w:p w:rsidR="00125455" w:rsidRPr="00263506" w:rsidRDefault="00125455" w:rsidP="00A31753">
            <w:pPr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/>
      </w:tblPr>
      <w:tblGrid>
        <w:gridCol w:w="2881"/>
        <w:gridCol w:w="1261"/>
        <w:gridCol w:w="1395"/>
        <w:gridCol w:w="4097"/>
      </w:tblGrid>
      <w:tr w:rsidR="003F05D4" w:rsidRPr="002B50C0" w:rsidTr="00A31753">
        <w:trPr>
          <w:tblHeader/>
        </w:trPr>
        <w:tc>
          <w:tcPr>
            <w:tcW w:w="2881" w:type="dxa"/>
            <w:shd w:val="clear" w:color="auto" w:fill="D0CECE" w:themeFill="background2" w:themeFillShade="E6"/>
            <w:vAlign w:val="center"/>
          </w:tcPr>
          <w:p w:rsidR="003F05D4" w:rsidRPr="005B270A" w:rsidRDefault="003F05D4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270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3F05D4" w:rsidRPr="00141A92" w:rsidRDefault="003F05D4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3F05D4" w:rsidRPr="00141A92" w:rsidRDefault="003F05D4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97" w:type="dxa"/>
            <w:shd w:val="clear" w:color="auto" w:fill="D0CECE" w:themeFill="background2" w:themeFillShade="E6"/>
            <w:vAlign w:val="center"/>
          </w:tcPr>
          <w:p w:rsidR="003F05D4" w:rsidRPr="00141A92" w:rsidRDefault="003F05D4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05D4" w:rsidRPr="002B50C0" w:rsidTr="003F05D4">
        <w:trPr>
          <w:trHeight w:val="3086"/>
        </w:trPr>
        <w:tc>
          <w:tcPr>
            <w:tcW w:w="2881" w:type="dxa"/>
          </w:tcPr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Zasoby Wydziału Nauk o Ziemi i Kształtowania Środowisk, w tym:</w:t>
            </w:r>
          </w:p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>Pracowni Historii Kartogr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>fii Zakładu Geoinformatyki i Kartografii</w:t>
            </w:r>
            <w:r w:rsidRPr="00A6084C">
              <w:rPr>
                <w:rFonts w:ascii="Arial" w:hAnsi="Arial" w:cs="Arial"/>
                <w:sz w:val="18"/>
                <w:szCs w:val="18"/>
              </w:rPr>
              <w:t> -kolekcja kartogr</w:t>
            </w:r>
            <w:r w:rsidRPr="00A6084C">
              <w:rPr>
                <w:rFonts w:ascii="Arial" w:hAnsi="Arial" w:cs="Arial"/>
                <w:sz w:val="18"/>
                <w:szCs w:val="18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</w:rPr>
              <w:t>ficzna map i atlasów.</w:t>
            </w:r>
          </w:p>
          <w:p w:rsidR="003F05D4" w:rsidRPr="00A6084C" w:rsidRDefault="003F05D4" w:rsidP="00A31753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- Zakładu Klimatologii i Ochrony Atmosfery</w:t>
            </w:r>
          </w:p>
          <w:p w:rsidR="003F05D4" w:rsidRPr="00A6084C" w:rsidRDefault="003F05D4" w:rsidP="00A31753">
            <w:pPr>
              <w:pStyle w:val="Tekstwstpniesformatowany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>Zakładu Geografii Fizycznej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 - preparaty mikroskopowe obrazujące budowę anatomiczną krzewinek arktycznych ze Spitsbergenu i Wyspy Niedźwiedziej.</w:t>
            </w:r>
          </w:p>
        </w:tc>
        <w:tc>
          <w:tcPr>
            <w:tcW w:w="1261" w:type="dxa"/>
          </w:tcPr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</w:tc>
        <w:tc>
          <w:tcPr>
            <w:tcW w:w="1395" w:type="dxa"/>
          </w:tcPr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097" w:type="dxa"/>
          </w:tcPr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F05D4" w:rsidRPr="002B50C0" w:rsidTr="00A31753">
        <w:tc>
          <w:tcPr>
            <w:tcW w:w="2881" w:type="dxa"/>
          </w:tcPr>
          <w:p w:rsidR="003F05D4" w:rsidRPr="00A6084C" w:rsidRDefault="003F05D4" w:rsidP="00A31753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Instytut Historii Sztuki</w:t>
            </w:r>
            <w:r w:rsidRPr="00A6084C">
              <w:rPr>
                <w:rFonts w:ascii="Arial" w:hAnsi="Arial" w:cs="Arial"/>
                <w:sz w:val="18"/>
                <w:szCs w:val="18"/>
              </w:rPr>
              <w:t>:  dane o zabytkach sztuki Śląska, poza kolekcjami muzealnymi.</w:t>
            </w:r>
          </w:p>
        </w:tc>
        <w:tc>
          <w:tcPr>
            <w:tcW w:w="1261" w:type="dxa"/>
          </w:tcPr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3F05D4" w:rsidRPr="002B50C0" w:rsidTr="00A31753">
        <w:tc>
          <w:tcPr>
            <w:tcW w:w="2881" w:type="dxa"/>
          </w:tcPr>
          <w:p w:rsidR="003F05D4" w:rsidRPr="00A6084C" w:rsidRDefault="003F05D4" w:rsidP="00A31753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lastRenderedPageBreak/>
              <w:t>Instytut Astronomiczny</w:t>
            </w:r>
            <w:r w:rsidRPr="00A6084C">
              <w:rPr>
                <w:rFonts w:ascii="Arial" w:hAnsi="Arial" w:cs="Arial"/>
                <w:sz w:val="18"/>
                <w:szCs w:val="18"/>
              </w:rPr>
              <w:t>: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książki i atlasy nieba oraz publikacje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Sternwarte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6084C">
              <w:rPr>
                <w:rFonts w:ascii="Arial" w:hAnsi="Arial" w:cs="Arial"/>
                <w:sz w:val="18"/>
                <w:szCs w:val="18"/>
              </w:rPr>
              <w:t>Breslau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 xml:space="preserve"> pochodzące z XVIII, XIX i początku XX wieku.</w:t>
            </w:r>
          </w:p>
        </w:tc>
        <w:tc>
          <w:tcPr>
            <w:tcW w:w="1261" w:type="dxa"/>
          </w:tcPr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3F05D4" w:rsidRPr="002B50C0" w:rsidTr="00A31753">
        <w:tc>
          <w:tcPr>
            <w:tcW w:w="2881" w:type="dxa"/>
          </w:tcPr>
          <w:p w:rsidR="003F05D4" w:rsidRPr="00A6084C" w:rsidRDefault="003F05D4" w:rsidP="00A31753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bCs/>
                <w:sz w:val="18"/>
                <w:szCs w:val="18"/>
              </w:rPr>
              <w:t>Instytut Archeologii Uniwersytetu Wrocławskiego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: zabytki z badań wykopaliskowych, tzw. zabytki specjalne, unikatowe - metalowe, kamienne i krzemienne, z surowców organicznych </w:t>
            </w:r>
            <w:r w:rsidRPr="00A6084C">
              <w:rPr>
                <w:rFonts w:ascii="Arial" w:hAnsi="Arial" w:cs="Arial"/>
                <w:sz w:val="18"/>
                <w:szCs w:val="18"/>
              </w:rPr>
              <w:br/>
              <w:t>i ceramiki.</w:t>
            </w:r>
          </w:p>
        </w:tc>
        <w:tc>
          <w:tcPr>
            <w:tcW w:w="1261" w:type="dxa"/>
          </w:tcPr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3F05D4" w:rsidRPr="002B50C0" w:rsidTr="00A31753">
        <w:tc>
          <w:tcPr>
            <w:tcW w:w="2881" w:type="dxa"/>
          </w:tcPr>
          <w:p w:rsidR="003F05D4" w:rsidRPr="00A6084C" w:rsidRDefault="003F05D4" w:rsidP="00A31753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Biblioteka Uniwersytetu Wrocławskiego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: prace doktorskie z okresu przedwojennego, również laureatów Nagrody Nobla. Kolekcja Dziedzictwo kulturowe, w tym: rękopisów, inkunabułów, starych druków, książek, </w:t>
            </w:r>
          </w:p>
          <w:p w:rsidR="003F05D4" w:rsidRPr="00A6084C" w:rsidRDefault="003F05D4" w:rsidP="00A31753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 xml:space="preserve">czasopism, dokumentów życia społecznego, zbiorów muzycznych, </w:t>
            </w:r>
          </w:p>
          <w:p w:rsidR="003F05D4" w:rsidRPr="00A6084C" w:rsidRDefault="003F05D4" w:rsidP="00A31753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kartograficznych, graficznych.</w:t>
            </w:r>
          </w:p>
        </w:tc>
        <w:tc>
          <w:tcPr>
            <w:tcW w:w="1261" w:type="dxa"/>
          </w:tcPr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3F05D4" w:rsidRPr="002B50C0" w:rsidTr="00A31753">
        <w:trPr>
          <w:trHeight w:val="2688"/>
        </w:trPr>
        <w:tc>
          <w:tcPr>
            <w:tcW w:w="2881" w:type="dxa"/>
          </w:tcPr>
          <w:p w:rsidR="003F05D4" w:rsidRPr="00A6084C" w:rsidRDefault="003F05D4" w:rsidP="00A31753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Biblioteka Instytutu Historycznego Uniwersytetu Wrocławskiego</w:t>
            </w:r>
            <w:r w:rsidRPr="00A6084C">
              <w:rPr>
                <w:rFonts w:ascii="Arial" w:hAnsi="Arial" w:cs="Arial"/>
                <w:sz w:val="18"/>
                <w:szCs w:val="18"/>
              </w:rPr>
              <w:t xml:space="preserve">: woluminy wydawnictw ciągłych, woluminy wydawnictw zwartych, jednostki zbiorów specjalnych ze zbiorów poniemieckich odnoszących się do historii Niemiec i Śląska, </w:t>
            </w:r>
          </w:p>
          <w:p w:rsidR="003F05D4" w:rsidRPr="00A6084C" w:rsidRDefault="003F05D4" w:rsidP="00A31753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</w:rPr>
              <w:t>księgozbiór dotyczący historii Polski.</w:t>
            </w:r>
          </w:p>
        </w:tc>
        <w:tc>
          <w:tcPr>
            <w:tcW w:w="1261" w:type="dxa"/>
          </w:tcPr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3F05D4" w:rsidRPr="002B50C0" w:rsidTr="00A31753">
        <w:trPr>
          <w:trHeight w:val="1129"/>
        </w:trPr>
        <w:tc>
          <w:tcPr>
            <w:tcW w:w="2881" w:type="dxa"/>
          </w:tcPr>
          <w:p w:rsidR="003F05D4" w:rsidRPr="00A6084C" w:rsidRDefault="003F05D4" w:rsidP="00A31753">
            <w:pPr>
              <w:pStyle w:val="Tekstwstpniesformatowany"/>
              <w:widowControl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 xml:space="preserve">Archiwum </w:t>
            </w:r>
            <w:proofErr w:type="spellStart"/>
            <w:r w:rsidRPr="00A6084C">
              <w:rPr>
                <w:rFonts w:ascii="Arial" w:hAnsi="Arial" w:cs="Arial"/>
                <w:b/>
                <w:sz w:val="18"/>
                <w:szCs w:val="18"/>
              </w:rPr>
              <w:t>UWr</w:t>
            </w:r>
            <w:proofErr w:type="spellEnd"/>
            <w:r w:rsidRPr="00A6084C">
              <w:rPr>
                <w:rFonts w:ascii="Arial" w:hAnsi="Arial" w:cs="Arial"/>
                <w:sz w:val="18"/>
                <w:szCs w:val="18"/>
              </w:rPr>
              <w:t>.: zbiór akt z lat 1811–1945 i nam współczesny.</w:t>
            </w:r>
          </w:p>
        </w:tc>
        <w:tc>
          <w:tcPr>
            <w:tcW w:w="1261" w:type="dxa"/>
          </w:tcPr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3F05D4" w:rsidRPr="002B50C0" w:rsidTr="00A31753">
        <w:trPr>
          <w:trHeight w:val="1376"/>
        </w:trPr>
        <w:tc>
          <w:tcPr>
            <w:tcW w:w="2881" w:type="dxa"/>
          </w:tcPr>
          <w:p w:rsidR="003F05D4" w:rsidRPr="00A6084C" w:rsidRDefault="003F05D4" w:rsidP="00A31753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Muzeum Mineralogiczne</w:t>
            </w:r>
            <w:r w:rsidRPr="00A6084C">
              <w:rPr>
                <w:rFonts w:ascii="Arial" w:hAnsi="Arial" w:cs="Arial"/>
                <w:sz w:val="18"/>
                <w:szCs w:val="18"/>
              </w:rPr>
              <w:t>: zbiór okazów minerałów i meteorytów, zebranych w latach 1811-1945.</w:t>
            </w:r>
          </w:p>
        </w:tc>
        <w:tc>
          <w:tcPr>
            <w:tcW w:w="1261" w:type="dxa"/>
          </w:tcPr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3F05D4" w:rsidRPr="002B50C0" w:rsidTr="00A31753">
        <w:trPr>
          <w:trHeight w:val="1980"/>
        </w:trPr>
        <w:tc>
          <w:tcPr>
            <w:tcW w:w="2881" w:type="dxa"/>
          </w:tcPr>
          <w:p w:rsidR="003F05D4" w:rsidRPr="00A6084C" w:rsidRDefault="003F05D4" w:rsidP="00A31753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Muzeum Geologiczne</w:t>
            </w:r>
            <w:r w:rsidRPr="00A6084C">
              <w:rPr>
                <w:rFonts w:ascii="Arial" w:hAnsi="Arial" w:cs="Arial"/>
                <w:sz w:val="18"/>
                <w:szCs w:val="18"/>
              </w:rPr>
              <w:t>: Zbiory pochodzące z całego świata, zebrane w setkach lokalizacji, zarówno w stanowiskach słynnych w świecie naukowym, jak i szerzej nieznanych.</w:t>
            </w:r>
          </w:p>
        </w:tc>
        <w:tc>
          <w:tcPr>
            <w:tcW w:w="1261" w:type="dxa"/>
          </w:tcPr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3F05D4" w:rsidRPr="002B50C0" w:rsidTr="00A31753">
        <w:trPr>
          <w:trHeight w:val="1980"/>
        </w:trPr>
        <w:tc>
          <w:tcPr>
            <w:tcW w:w="2881" w:type="dxa"/>
          </w:tcPr>
          <w:p w:rsidR="003F05D4" w:rsidRPr="00A6084C" w:rsidRDefault="003F05D4" w:rsidP="00A31753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lastRenderedPageBreak/>
              <w:t>Muzeum Przyrodnicze</w:t>
            </w:r>
            <w:r w:rsidRPr="00A6084C">
              <w:rPr>
                <w:rFonts w:ascii="Arial" w:hAnsi="Arial" w:cs="Arial"/>
                <w:sz w:val="18"/>
                <w:szCs w:val="18"/>
              </w:rPr>
              <w:t>: kolekcje tematyczne, dorobek naukowców z Niemiec i Polski. Okazy gatunków wymarłych.</w:t>
            </w:r>
          </w:p>
        </w:tc>
        <w:tc>
          <w:tcPr>
            <w:tcW w:w="1261" w:type="dxa"/>
          </w:tcPr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3F05D4" w:rsidRPr="002B50C0" w:rsidTr="00A31753">
        <w:trPr>
          <w:trHeight w:val="1980"/>
        </w:trPr>
        <w:tc>
          <w:tcPr>
            <w:tcW w:w="2881" w:type="dxa"/>
          </w:tcPr>
          <w:p w:rsidR="003F05D4" w:rsidRPr="00A6084C" w:rsidRDefault="003F05D4" w:rsidP="00A31753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6084C">
              <w:rPr>
                <w:rFonts w:ascii="Arial" w:hAnsi="Arial" w:cs="Arial"/>
                <w:b/>
                <w:sz w:val="18"/>
                <w:szCs w:val="18"/>
              </w:rPr>
              <w:t>Muzeum Uniwersytetu Wrocławskiego</w:t>
            </w:r>
            <w:r w:rsidRPr="00A6084C">
              <w:rPr>
                <w:rFonts w:ascii="Arial" w:hAnsi="Arial" w:cs="Arial"/>
                <w:sz w:val="18"/>
                <w:szCs w:val="18"/>
              </w:rPr>
              <w:t>: karty pocztowe, grafiki, zdjęcia i obrazy, oraz przedmioty rzemiosła artystycznego i druki – wszystkie o charakterze unikatowym.</w:t>
            </w:r>
          </w:p>
        </w:tc>
        <w:tc>
          <w:tcPr>
            <w:tcW w:w="1261" w:type="dxa"/>
          </w:tcPr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097" w:type="dxa"/>
          </w:tcPr>
          <w:p w:rsidR="003F05D4" w:rsidRPr="00A6084C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84C"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3F05D4" w:rsidRPr="002B50C0" w:rsidTr="00A31753">
        <w:trPr>
          <w:trHeight w:val="1980"/>
        </w:trPr>
        <w:tc>
          <w:tcPr>
            <w:tcW w:w="2881" w:type="dxa"/>
          </w:tcPr>
          <w:p w:rsidR="003F05D4" w:rsidRPr="005B270A" w:rsidRDefault="003F05D4" w:rsidP="00A31753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Ogród Botaniczny</w:t>
            </w:r>
            <w:r w:rsidRPr="005B270A">
              <w:rPr>
                <w:rFonts w:ascii="Arial" w:hAnsi="Arial" w:cs="Arial"/>
              </w:rPr>
              <w:t>:  odmiany liliowców, kolekcja roślin wodnych </w:t>
            </w:r>
            <w:proofErr w:type="spellStart"/>
            <w:r w:rsidRPr="005B270A">
              <w:rPr>
                <w:rFonts w:ascii="Arial" w:hAnsi="Arial" w:cs="Arial"/>
              </w:rPr>
              <w:t>akwaryjnych</w:t>
            </w:r>
            <w:proofErr w:type="spellEnd"/>
            <w:r w:rsidRPr="005B270A">
              <w:rPr>
                <w:rFonts w:ascii="Arial" w:hAnsi="Arial" w:cs="Arial"/>
              </w:rPr>
              <w:t>, cenna kolekcja roślin z rodzaju </w:t>
            </w:r>
            <w:proofErr w:type="spellStart"/>
            <w:r w:rsidRPr="005B270A">
              <w:rPr>
                <w:rFonts w:ascii="Arial" w:hAnsi="Arial" w:cs="Arial"/>
              </w:rPr>
              <w:t>Hemerocallis</w:t>
            </w:r>
            <w:proofErr w:type="spellEnd"/>
            <w:r w:rsidRPr="005B270A">
              <w:rPr>
                <w:rFonts w:ascii="Arial" w:hAnsi="Arial" w:cs="Arial"/>
              </w:rPr>
              <w:t>, kolekcja roślin z rodzaju </w:t>
            </w:r>
            <w:proofErr w:type="spellStart"/>
            <w:r w:rsidRPr="005B270A">
              <w:rPr>
                <w:rFonts w:ascii="Arial" w:hAnsi="Arial" w:cs="Arial"/>
              </w:rPr>
              <w:t>Hedera</w:t>
            </w:r>
            <w:proofErr w:type="spellEnd"/>
            <w:r w:rsidRPr="005B270A">
              <w:rPr>
                <w:rFonts w:ascii="Arial" w:hAnsi="Arial" w:cs="Arial"/>
              </w:rPr>
              <w:t>, największa liczba taksonów w licznych kolekcjach.</w:t>
            </w:r>
          </w:p>
        </w:tc>
        <w:tc>
          <w:tcPr>
            <w:tcW w:w="1261" w:type="dxa"/>
          </w:tcPr>
          <w:p w:rsidR="003F05D4" w:rsidRPr="0065065E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65065E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  <w:p w:rsidR="003F05D4" w:rsidRPr="0065065E" w:rsidRDefault="003F05D4" w:rsidP="00A3175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395" w:type="dxa"/>
          </w:tcPr>
          <w:p w:rsidR="003F05D4" w:rsidRPr="001B6667" w:rsidRDefault="003F05D4" w:rsidP="00A31753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3F05D4" w:rsidRPr="00141A92" w:rsidRDefault="003F05D4" w:rsidP="00A3175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</w:t>
      </w:r>
      <w:proofErr w:type="spellStart"/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>pkt</w:t>
      </w:r>
      <w:proofErr w:type="spellEnd"/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547"/>
        <w:gridCol w:w="1701"/>
        <w:gridCol w:w="1843"/>
        <w:gridCol w:w="3543"/>
      </w:tblGrid>
      <w:tr w:rsidR="003F05D4" w:rsidRPr="002B50C0" w:rsidTr="00A31753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3F05D4" w:rsidRPr="00913050" w:rsidRDefault="003F05D4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3F05D4" w:rsidRPr="00913050" w:rsidRDefault="003F05D4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3F05D4" w:rsidRPr="00141A92" w:rsidRDefault="003F05D4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3F05D4" w:rsidRPr="00141A92" w:rsidRDefault="003F05D4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3F05D4" w:rsidRPr="00141A92" w:rsidRDefault="003F05D4" w:rsidP="00A3175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05D4" w:rsidRPr="002B50C0" w:rsidTr="00A31753">
        <w:tc>
          <w:tcPr>
            <w:tcW w:w="2547" w:type="dxa"/>
          </w:tcPr>
          <w:p w:rsidR="003F05D4" w:rsidRPr="00020F5E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020F5E">
              <w:rPr>
                <w:rFonts w:ascii="Arial" w:hAnsi="Arial" w:cs="Arial"/>
                <w:sz w:val="18"/>
                <w:szCs w:val="18"/>
              </w:rPr>
              <w:t xml:space="preserve">Portal </w:t>
            </w:r>
            <w:proofErr w:type="spellStart"/>
            <w:r w:rsidRPr="00020F5E">
              <w:rPr>
                <w:rFonts w:ascii="Arial" w:hAnsi="Arial" w:cs="Arial"/>
                <w:sz w:val="18"/>
                <w:szCs w:val="18"/>
              </w:rPr>
              <w:t>Leopoldina</w:t>
            </w:r>
            <w:proofErr w:type="spellEnd"/>
            <w:r w:rsidRPr="00020F5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0F5E">
              <w:rPr>
                <w:rFonts w:ascii="Arial" w:hAnsi="Arial" w:cs="Arial"/>
                <w:sz w:val="18"/>
                <w:szCs w:val="18"/>
              </w:rPr>
              <w:t>on-line</w:t>
            </w:r>
            <w:proofErr w:type="spellEnd"/>
          </w:p>
        </w:tc>
        <w:tc>
          <w:tcPr>
            <w:tcW w:w="1701" w:type="dxa"/>
          </w:tcPr>
          <w:p w:rsidR="003F05D4" w:rsidRPr="00020F5E" w:rsidRDefault="003F05D4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0F5E">
              <w:rPr>
                <w:rFonts w:ascii="Arial" w:hAnsi="Arial" w:cs="Arial"/>
                <w:sz w:val="18"/>
                <w:szCs w:val="18"/>
                <w:lang w:eastAsia="pl-PL"/>
              </w:rPr>
              <w:t>5-2020</w:t>
            </w:r>
          </w:p>
          <w:p w:rsidR="003F05D4" w:rsidRPr="00020F5E" w:rsidRDefault="003F05D4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:rsidR="003F05D4" w:rsidRPr="00F20412" w:rsidRDefault="00F20412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543" w:type="dxa"/>
          </w:tcPr>
          <w:p w:rsidR="003F05D4" w:rsidRPr="00D220EC" w:rsidRDefault="003F05D4" w:rsidP="00A31753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Nowoutworzony Portal pozwoli preze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n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tować również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zdigitalizowane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1100 rękopisów średniowiecznych oraz</w:t>
            </w:r>
          </w:p>
          <w:p w:rsidR="003F05D4" w:rsidRPr="00D220EC" w:rsidRDefault="003F05D4" w:rsidP="00A31753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Udostępnione już w domenie publicznej 404 000 plików będących efektem digit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lizacji obiektów</w:t>
            </w:r>
          </w:p>
          <w:p w:rsidR="003F05D4" w:rsidRPr="00D220EC" w:rsidRDefault="003F05D4" w:rsidP="00A31753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dziedzictwa kulturowego w ramach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proejktu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"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Dziedzictwo Regionu i Europy". Cymelia ze zbiorów Biblioteki Uniwers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y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teckiej we Wrocławiu.</w:t>
            </w:r>
          </w:p>
          <w:p w:rsidR="003F05D4" w:rsidRPr="00D220EC" w:rsidRDefault="003F05D4" w:rsidP="00A31753">
            <w:pPr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Digitalizacja i udostępnienie w Sieci.</w:t>
            </w:r>
          </w:p>
          <w:p w:rsidR="003F05D4" w:rsidRPr="00D220EC" w:rsidRDefault="003F05D4" w:rsidP="00A31753">
            <w:pPr>
              <w:rPr>
                <w:rFonts w:ascii="NimbusSanL-Regu" w:hAnsi="NimbusSanL-Regu" w:cs="NimbusSanL-Regu"/>
                <w:sz w:val="18"/>
                <w:szCs w:val="18"/>
              </w:rPr>
            </w:pPr>
          </w:p>
          <w:p w:rsidR="003F05D4" w:rsidRPr="00D220EC" w:rsidRDefault="003F05D4" w:rsidP="00A31753">
            <w:pPr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Podobnie będzie  ze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zdigitalizowanymi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zasobami w ramach projektu "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Imago </w:t>
            </w:r>
            <w:proofErr w:type="spellStart"/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Silesiae</w:t>
            </w:r>
            <w:proofErr w:type="spellEnd"/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 </w:t>
            </w:r>
            <w:proofErr w:type="spellStart"/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Inferioris</w:t>
            </w:r>
            <w:proofErr w:type="spellEnd"/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 </w:t>
            </w:r>
            <w:proofErr w:type="spellStart"/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online</w:t>
            </w:r>
            <w:proofErr w:type="spellEnd"/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". Mapy, plany i widoki Dolnego Śląska ze zbiorów Bibli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o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teki</w:t>
            </w:r>
          </w:p>
          <w:p w:rsidR="003F05D4" w:rsidRPr="00D220EC" w:rsidRDefault="003F05D4" w:rsidP="00A31753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Uniwersyteckiej We Wrocławiu. Digital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i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zacja i udostępnienie w Sieci.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Są to 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z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soby ikonograficzne ukazujące Dolny Śląsk (mapy, plany, widoki, weduty, gr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fiki, dawne fotografie) z największej,</w:t>
            </w:r>
          </w:p>
          <w:p w:rsidR="003F05D4" w:rsidRPr="00D220EC" w:rsidRDefault="003F05D4" w:rsidP="00A31753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najcenniejszej i najbardziej zróżnicow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nej kolekcji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silesiaców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na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świ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e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cie,udostępnione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w powiązaniu z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digital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i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zatami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poszerzonej informacji o</w:t>
            </w:r>
          </w:p>
          <w:p w:rsidR="003F05D4" w:rsidRPr="00D220EC" w:rsidRDefault="003F05D4" w:rsidP="00A31753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lastRenderedPageBreak/>
              <w:t>dziedzictwie przeszłości Dolnego Śląska obejmującej prezentację historii i zas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o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bów dziedzictwa</w:t>
            </w:r>
          </w:p>
          <w:p w:rsidR="003F05D4" w:rsidRPr="00D220EC" w:rsidRDefault="003F05D4" w:rsidP="00A31753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kulturowego regionu.</w:t>
            </w:r>
          </w:p>
        </w:tc>
      </w:tr>
      <w:tr w:rsidR="003F05D4" w:rsidRPr="002B50C0" w:rsidTr="00A31753">
        <w:tc>
          <w:tcPr>
            <w:tcW w:w="2547" w:type="dxa"/>
          </w:tcPr>
          <w:p w:rsidR="003F05D4" w:rsidRPr="00020F5E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020F5E">
              <w:rPr>
                <w:rFonts w:ascii="Arial" w:hAnsi="Arial" w:cs="Arial"/>
                <w:sz w:val="18"/>
                <w:szCs w:val="18"/>
              </w:rPr>
              <w:lastRenderedPageBreak/>
              <w:t>ICA ATOM</w:t>
            </w:r>
          </w:p>
        </w:tc>
        <w:tc>
          <w:tcPr>
            <w:tcW w:w="1701" w:type="dxa"/>
          </w:tcPr>
          <w:p w:rsidR="003F05D4" w:rsidRPr="00020F5E" w:rsidRDefault="003F05D4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0F5E">
              <w:rPr>
                <w:rFonts w:ascii="Arial" w:hAnsi="Arial" w:cs="Arial"/>
                <w:sz w:val="18"/>
                <w:szCs w:val="18"/>
                <w:lang w:eastAsia="pl-PL"/>
              </w:rPr>
              <w:t>8-2019</w:t>
            </w:r>
          </w:p>
        </w:tc>
        <w:tc>
          <w:tcPr>
            <w:tcW w:w="1843" w:type="dxa"/>
          </w:tcPr>
          <w:p w:rsidR="003F05D4" w:rsidRPr="00020F5E" w:rsidRDefault="003F05D4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0F5E">
              <w:rPr>
                <w:rFonts w:ascii="Arial" w:hAnsi="Arial" w:cs="Arial"/>
                <w:sz w:val="18"/>
                <w:szCs w:val="18"/>
                <w:lang w:eastAsia="pl-PL"/>
              </w:rPr>
              <w:t>8-2019</w:t>
            </w:r>
          </w:p>
        </w:tc>
        <w:tc>
          <w:tcPr>
            <w:tcW w:w="3543" w:type="dxa"/>
          </w:tcPr>
          <w:p w:rsidR="003F05D4" w:rsidRPr="00D4318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  <w:tr w:rsidR="003F05D4" w:rsidRPr="002B50C0" w:rsidTr="00A31753">
        <w:tc>
          <w:tcPr>
            <w:tcW w:w="2547" w:type="dxa"/>
          </w:tcPr>
          <w:p w:rsidR="003F05D4" w:rsidRPr="00020F5E" w:rsidRDefault="003F05D4" w:rsidP="00A31753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020F5E">
              <w:rPr>
                <w:rFonts w:ascii="Arial" w:hAnsi="Arial" w:cs="Arial"/>
                <w:sz w:val="18"/>
                <w:szCs w:val="18"/>
              </w:rPr>
              <w:t>System Informacji Naukowej</w:t>
            </w:r>
          </w:p>
        </w:tc>
        <w:tc>
          <w:tcPr>
            <w:tcW w:w="1701" w:type="dxa"/>
          </w:tcPr>
          <w:p w:rsidR="003F05D4" w:rsidRPr="00020F5E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020F5E"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43" w:type="dxa"/>
          </w:tcPr>
          <w:p w:rsidR="003F05D4" w:rsidRPr="00F20412" w:rsidRDefault="00F20412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F20412">
              <w:rPr>
                <w:rFonts w:ascii="Arial" w:hAnsi="Arial" w:cs="Arial"/>
                <w:sz w:val="18"/>
                <w:szCs w:val="18"/>
                <w:lang w:eastAsia="pl-PL"/>
              </w:rPr>
              <w:t>1-2020</w:t>
            </w:r>
          </w:p>
        </w:tc>
        <w:tc>
          <w:tcPr>
            <w:tcW w:w="3543" w:type="dxa"/>
          </w:tcPr>
          <w:p w:rsidR="003F05D4" w:rsidRPr="00D4318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  <w:tr w:rsidR="003F05D4" w:rsidRPr="002B50C0" w:rsidTr="00A31753">
        <w:tc>
          <w:tcPr>
            <w:tcW w:w="2547" w:type="dxa"/>
          </w:tcPr>
          <w:p w:rsidR="003F05D4" w:rsidRPr="00020F5E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020F5E">
              <w:rPr>
                <w:rFonts w:ascii="Arial" w:hAnsi="Arial" w:cs="Arial"/>
                <w:sz w:val="18"/>
                <w:szCs w:val="18"/>
              </w:rPr>
              <w:t>Wirtualne</w:t>
            </w:r>
          </w:p>
          <w:p w:rsidR="003F05D4" w:rsidRPr="00D220EC" w:rsidRDefault="003F05D4" w:rsidP="00A31753">
            <w:r w:rsidRPr="00020F5E">
              <w:rPr>
                <w:rFonts w:ascii="Arial" w:hAnsi="Arial" w:cs="Arial"/>
                <w:sz w:val="18"/>
                <w:szCs w:val="18"/>
              </w:rPr>
              <w:t>Laboratorium Translacji</w:t>
            </w:r>
          </w:p>
        </w:tc>
        <w:tc>
          <w:tcPr>
            <w:tcW w:w="1701" w:type="dxa"/>
          </w:tcPr>
          <w:p w:rsidR="003F05D4" w:rsidRPr="00913050" w:rsidRDefault="003F05D4" w:rsidP="00A31753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43" w:type="dxa"/>
          </w:tcPr>
          <w:p w:rsidR="003F05D4" w:rsidRPr="00F20412" w:rsidRDefault="00F20412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0412">
              <w:rPr>
                <w:rFonts w:ascii="Arial" w:hAnsi="Arial" w:cs="Arial"/>
                <w:sz w:val="18"/>
                <w:szCs w:val="18"/>
                <w:lang w:eastAsia="pl-PL"/>
              </w:rPr>
              <w:t>7-2020</w:t>
            </w:r>
          </w:p>
        </w:tc>
        <w:tc>
          <w:tcPr>
            <w:tcW w:w="3543" w:type="dxa"/>
          </w:tcPr>
          <w:p w:rsidR="003F05D4" w:rsidRPr="00D4318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2257"/>
        <w:gridCol w:w="1629"/>
        <w:gridCol w:w="3406"/>
        <w:gridCol w:w="2206"/>
      </w:tblGrid>
      <w:tr w:rsidR="003F05D4" w:rsidRPr="00406021" w:rsidTr="00A31753">
        <w:trPr>
          <w:tblHeader/>
        </w:trPr>
        <w:tc>
          <w:tcPr>
            <w:tcW w:w="2257" w:type="dxa"/>
            <w:shd w:val="clear" w:color="auto" w:fill="D0CECE" w:themeFill="background2" w:themeFillShade="E6"/>
            <w:vAlign w:val="center"/>
          </w:tcPr>
          <w:p w:rsidR="003F05D4" w:rsidRPr="00913050" w:rsidRDefault="003F05D4" w:rsidP="00A3175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:rsidR="003F05D4" w:rsidRPr="00406021" w:rsidRDefault="003F05D4" w:rsidP="00A3175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06" w:type="dxa"/>
            <w:shd w:val="clear" w:color="auto" w:fill="D0CECE" w:themeFill="background2" w:themeFillShade="E6"/>
          </w:tcPr>
          <w:p w:rsidR="003F05D4" w:rsidRPr="00406021" w:rsidRDefault="003F05D4" w:rsidP="00A3175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206" w:type="dxa"/>
            <w:shd w:val="clear" w:color="auto" w:fill="D0CECE" w:themeFill="background2" w:themeFillShade="E6"/>
            <w:vAlign w:val="center"/>
          </w:tcPr>
          <w:p w:rsidR="003F05D4" w:rsidRPr="00A6084C" w:rsidRDefault="003F05D4" w:rsidP="00A31753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Sposób zarzą</w:t>
            </w:r>
            <w:r w:rsidRPr="00A6084C">
              <w:rPr>
                <w:rFonts w:ascii="Arial" w:hAnsi="Arial" w:cs="Arial"/>
                <w:b/>
                <w:sz w:val="18"/>
                <w:szCs w:val="18"/>
              </w:rPr>
              <w:t>dzania ryzykiem</w:t>
            </w:r>
          </w:p>
        </w:tc>
      </w:tr>
      <w:tr w:rsidR="003F05D4" w:rsidRPr="00406021" w:rsidTr="00A31753">
        <w:tc>
          <w:tcPr>
            <w:tcW w:w="2257" w:type="dxa"/>
          </w:tcPr>
          <w:p w:rsidR="003F05D4" w:rsidRPr="00A6084C" w:rsidRDefault="003F05D4" w:rsidP="00A3175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Ryzyko wydłużenia cz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su realizacji projektu związanego z prowadz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niem postępowań prz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targowych </w:t>
            </w:r>
          </w:p>
        </w:tc>
        <w:tc>
          <w:tcPr>
            <w:tcW w:w="1629" w:type="dxa"/>
          </w:tcPr>
          <w:p w:rsidR="003F05D4" w:rsidRPr="00A6084C" w:rsidRDefault="003F05D4" w:rsidP="00A31753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3406" w:type="dxa"/>
          </w:tcPr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3F05D4" w:rsidRPr="00A6084C" w:rsidRDefault="003F05D4" w:rsidP="00A31753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Weryfikacja i zmiana czasu trwania wszystkich etapów realizacji projektu, po uwzględnieniu okresu trwania przetargu i momentu  podpisania umowy z wykonawcą. </w:t>
            </w:r>
          </w:p>
          <w:p w:rsidR="003F05D4" w:rsidRPr="00A6084C" w:rsidRDefault="003F05D4" w:rsidP="00A31753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Faktyczne efekty:</w:t>
            </w:r>
          </w:p>
          <w:p w:rsidR="003F05D4" w:rsidRPr="00A6084C" w:rsidRDefault="003F05D4" w:rsidP="00A31753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skrócenie kolejnych etapów realizacji proje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tu,</w:t>
            </w:r>
          </w:p>
          <w:p w:rsidR="003F05D4" w:rsidRPr="00A6084C" w:rsidRDefault="003F05D4" w:rsidP="00A31753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intensyfikacja prac zespołów zaangażow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nych w realizację skr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ó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conych etapów realizacji projektu.</w:t>
            </w:r>
          </w:p>
          <w:p w:rsidR="003F05D4" w:rsidRPr="00A6084C" w:rsidRDefault="003F05D4" w:rsidP="00A31753">
            <w:pPr>
              <w:jc w:val="both"/>
              <w:rPr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Siła oddziaływania </w:t>
            </w:r>
            <w:r w:rsidR="00F20412">
              <w:rPr>
                <w:rFonts w:ascii="Arial" w:hAnsi="Arial" w:cs="Arial"/>
                <w:sz w:val="18"/>
                <w:szCs w:val="18"/>
                <w:lang w:eastAsia="pl-PL"/>
              </w:rPr>
              <w:t>Sp</w:t>
            </w:r>
            <w:r w:rsidR="00F20412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F20412">
              <w:rPr>
                <w:rFonts w:ascii="Arial" w:hAnsi="Arial" w:cs="Arial"/>
                <w:sz w:val="18"/>
                <w:szCs w:val="18"/>
                <w:lang w:eastAsia="pl-PL"/>
              </w:rPr>
              <w:t>dła do małej 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prawd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podobieństwo </w:t>
            </w:r>
            <w:r w:rsidR="00F20412">
              <w:rPr>
                <w:rFonts w:ascii="Arial" w:hAnsi="Arial" w:cs="Arial"/>
                <w:sz w:val="18"/>
                <w:szCs w:val="18"/>
                <w:lang w:eastAsia="pl-PL"/>
              </w:rPr>
              <w:t>jest n</w:t>
            </w:r>
            <w:r w:rsidR="00F20412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="00F20412">
              <w:rPr>
                <w:rFonts w:ascii="Arial" w:hAnsi="Arial" w:cs="Arial"/>
                <w:sz w:val="18"/>
                <w:szCs w:val="18"/>
                <w:lang w:eastAsia="pl-PL"/>
              </w:rPr>
              <w:t>skie. Wszystkie post</w:t>
            </w:r>
            <w:r w:rsidR="00F20412">
              <w:rPr>
                <w:rFonts w:ascii="Arial" w:hAnsi="Arial" w:cs="Arial"/>
                <w:sz w:val="18"/>
                <w:szCs w:val="18"/>
                <w:lang w:eastAsia="pl-PL"/>
              </w:rPr>
              <w:t>ę</w:t>
            </w:r>
            <w:r w:rsidR="00F20412">
              <w:rPr>
                <w:rFonts w:ascii="Arial" w:hAnsi="Arial" w:cs="Arial"/>
                <w:sz w:val="18"/>
                <w:szCs w:val="18"/>
                <w:lang w:eastAsia="pl-PL"/>
              </w:rPr>
              <w:t>powania przetargowe się zakończyły.</w:t>
            </w:r>
          </w:p>
        </w:tc>
      </w:tr>
      <w:tr w:rsidR="003F05D4" w:rsidRPr="00406021" w:rsidTr="00A31753">
        <w:tc>
          <w:tcPr>
            <w:tcW w:w="2257" w:type="dxa"/>
          </w:tcPr>
          <w:p w:rsidR="003F05D4" w:rsidRPr="00A6084C" w:rsidRDefault="003F05D4" w:rsidP="00A3175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Opóźnienie realizacji etapów projektu spow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dowane opóźnieniem prac wyłonionych wyk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nawców</w:t>
            </w:r>
          </w:p>
        </w:tc>
        <w:tc>
          <w:tcPr>
            <w:tcW w:w="1629" w:type="dxa"/>
          </w:tcPr>
          <w:p w:rsidR="003F05D4" w:rsidRPr="00A6084C" w:rsidRDefault="003F05D4" w:rsidP="00A31753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3406" w:type="dxa"/>
          </w:tcPr>
          <w:p w:rsidR="003F05D4" w:rsidRPr="00A6084C" w:rsidRDefault="003F05D4" w:rsidP="00A3175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3F05D4" w:rsidRPr="00A6084C" w:rsidRDefault="003F05D4" w:rsidP="00A3175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Przewidziano ogłaszanie przetargów 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częściowych, które pozwolą na wyłonienie bardziej specjalistycznych firm. Przewidziano długie poszczególne etapy realizacji projektu.</w:t>
            </w:r>
          </w:p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Faktyczne efekty:</w:t>
            </w:r>
          </w:p>
          <w:p w:rsidR="003F05D4" w:rsidRDefault="003F05D4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opóźnienia są krótk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trwałe i mieszczą się w okresie realizacji proje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tu. </w:t>
            </w:r>
          </w:p>
          <w:p w:rsidR="003F05D4" w:rsidRPr="00A6084C" w:rsidRDefault="003F05D4" w:rsidP="00A31753">
            <w:pPr>
              <w:rPr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Siła oddziaływania i prawdopodobieństwo wy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stąpienia pozostają bez zmian. Ze względu na obecną sytuacje w kraju to ryzyko jeszcze bardziej zyskało na znaczeniu. </w:t>
            </w:r>
          </w:p>
        </w:tc>
      </w:tr>
      <w:tr w:rsidR="003F05D4" w:rsidRPr="00406021" w:rsidTr="00A31753">
        <w:tc>
          <w:tcPr>
            <w:tcW w:w="2257" w:type="dxa"/>
          </w:tcPr>
          <w:p w:rsidR="003F05D4" w:rsidRPr="00A6084C" w:rsidRDefault="003F05D4" w:rsidP="00A3175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Ograniczone zasoby ludzkie. Kumulacja digit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lizacji w krótkim czasie.</w:t>
            </w:r>
          </w:p>
        </w:tc>
        <w:tc>
          <w:tcPr>
            <w:tcW w:w="1629" w:type="dxa"/>
          </w:tcPr>
          <w:p w:rsidR="003F05D4" w:rsidRPr="00A6084C" w:rsidRDefault="003F05D4" w:rsidP="00A31753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3406" w:type="dxa"/>
          </w:tcPr>
          <w:p w:rsidR="003F05D4" w:rsidRPr="00A6084C" w:rsidRDefault="003F05D4" w:rsidP="00A3175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206" w:type="dxa"/>
          </w:tcPr>
          <w:p w:rsidR="003F05D4" w:rsidRPr="00A6084C" w:rsidRDefault="003F05D4" w:rsidP="00A3175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tanowisk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 digitalizacyjne działają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w 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każdej jednostce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na tym etapie sprawnie. Wszyscy członkowie są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odpowiedn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io przeszkoleni i proces przebiega bez zarzutu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. </w:t>
            </w:r>
          </w:p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Spodziewany efekt:</w:t>
            </w:r>
          </w:p>
          <w:p w:rsidR="003F05D4" w:rsidRPr="00A6084C" w:rsidRDefault="003F05D4" w:rsidP="00A31753">
            <w:pPr>
              <w:rPr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brak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kumulacji działań związanych z procesem digitalizacji w krótkim czasie. Siła oddziaływ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pozostaje ta sama, ale 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prawdopodobie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ń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stwo wystąpie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nia na tym etapie realizacji projektu wydaje się średnie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3F05D4" w:rsidRPr="00406021" w:rsidTr="00A31753">
        <w:tc>
          <w:tcPr>
            <w:tcW w:w="2257" w:type="dxa"/>
          </w:tcPr>
          <w:p w:rsidR="003F05D4" w:rsidRPr="00A6084C" w:rsidRDefault="003F05D4" w:rsidP="00A3175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Fluktuacja kadry w 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spole zarządzającym</w:t>
            </w:r>
          </w:p>
        </w:tc>
        <w:tc>
          <w:tcPr>
            <w:tcW w:w="1629" w:type="dxa"/>
          </w:tcPr>
          <w:p w:rsidR="003F05D4" w:rsidRPr="00A6084C" w:rsidRDefault="003F05D4" w:rsidP="00A31753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6" w:type="dxa"/>
          </w:tcPr>
          <w:p w:rsidR="003F05D4" w:rsidRPr="00A6084C" w:rsidRDefault="003F05D4" w:rsidP="00A3175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206" w:type="dxa"/>
          </w:tcPr>
          <w:p w:rsidR="003F05D4" w:rsidRPr="00A6084C" w:rsidRDefault="003F05D4" w:rsidP="00A31753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strukturze organizacyjnej zespołu zarządzającego projektu uwzględniono system zastępstw.</w:t>
            </w:r>
          </w:p>
          <w:p w:rsidR="003F05D4" w:rsidRPr="00A6084C" w:rsidRDefault="003F05D4" w:rsidP="00A31753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Faktyczny efekt:</w:t>
            </w:r>
          </w:p>
          <w:p w:rsidR="003F05D4" w:rsidRPr="00A6084C" w:rsidRDefault="003F05D4" w:rsidP="00A31753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praca jest wykonywana na bieżąco w zakresie zarządzania projektem bez opóźnień. Siła 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działywania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pozostała ta sama, ale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prawdopod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bieństwo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wystąpienia na tym etapie realizacji projektu i w obecnej sytuacji w kraju wydaje się znikome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:rsidR="003F05D4" w:rsidRPr="00A6084C" w:rsidRDefault="003F05D4" w:rsidP="00A31753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F05D4" w:rsidRPr="00406021" w:rsidTr="00A31753">
        <w:tc>
          <w:tcPr>
            <w:tcW w:w="2257" w:type="dxa"/>
          </w:tcPr>
          <w:p w:rsidR="003F05D4" w:rsidRPr="00A6084C" w:rsidRDefault="003F05D4" w:rsidP="00A3175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Nakładanie się obowią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ków w zespole projekt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wym oraz tworzenie się luk w procesie upublic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niania danych</w:t>
            </w:r>
          </w:p>
        </w:tc>
        <w:tc>
          <w:tcPr>
            <w:tcW w:w="1629" w:type="dxa"/>
          </w:tcPr>
          <w:p w:rsidR="003F05D4" w:rsidRPr="00A6084C" w:rsidRDefault="003F05D4" w:rsidP="00A31753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6" w:type="dxa"/>
          </w:tcPr>
          <w:p w:rsidR="003F05D4" w:rsidRPr="00A6084C" w:rsidRDefault="00C80D56" w:rsidP="00A3175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206" w:type="dxa"/>
          </w:tcPr>
          <w:p w:rsidR="003F05D4" w:rsidRPr="00A6084C" w:rsidRDefault="003F05D4" w:rsidP="00A3175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Przyjęto metodykę zarządzania projektem, w ramach której określono schemat organizacyjny projektu wraz z jasnym podziałem obowiązków, z odpowiednimi 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szczeblami </w:t>
            </w:r>
            <w:proofErr w:type="spellStart"/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audytowo</w:t>
            </w:r>
            <w:proofErr w:type="spellEnd"/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/kontrolnymi.</w:t>
            </w:r>
          </w:p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Dodatkowo organizuj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="00F70037">
              <w:rPr>
                <w:rFonts w:ascii="Arial" w:hAnsi="Arial" w:cs="Arial"/>
                <w:sz w:val="18"/>
                <w:szCs w:val="18"/>
                <w:lang w:eastAsia="pl-PL"/>
              </w:rPr>
              <w:t>my spotkania w celu ustalenia kolejnych zadań dla osób zaang</w:t>
            </w:r>
            <w:r w:rsidR="00F70037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F70037">
              <w:rPr>
                <w:rFonts w:ascii="Arial" w:hAnsi="Arial" w:cs="Arial"/>
                <w:sz w:val="18"/>
                <w:szCs w:val="18"/>
                <w:lang w:eastAsia="pl-PL"/>
              </w:rPr>
              <w:t>żowanych w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realiza</w:t>
            </w:r>
            <w:r w:rsidR="00F70037">
              <w:rPr>
                <w:rFonts w:ascii="Arial" w:hAnsi="Arial" w:cs="Arial"/>
                <w:sz w:val="18"/>
                <w:szCs w:val="18"/>
                <w:lang w:eastAsia="pl-PL"/>
              </w:rPr>
              <w:t>cję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projektu.</w:t>
            </w:r>
          </w:p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Spodziewane efekty:</w:t>
            </w:r>
          </w:p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brak nakładania się obowiązków w zesp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łach,</w:t>
            </w:r>
          </w:p>
          <w:p w:rsidR="003F05D4" w:rsidRPr="00A6084C" w:rsidRDefault="003F05D4" w:rsidP="00C80D56">
            <w:pPr>
              <w:rPr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brak luk w upubliczni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niu danych. Siła oddzi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ływania </w:t>
            </w:r>
            <w:r w:rsidR="00C80D56">
              <w:rPr>
                <w:rFonts w:ascii="Arial" w:hAnsi="Arial" w:cs="Arial"/>
                <w:sz w:val="18"/>
                <w:szCs w:val="18"/>
                <w:lang w:eastAsia="pl-PL"/>
              </w:rPr>
              <w:t>pozostaje takie sama, ale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prawdopod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bieństwo</w:t>
            </w:r>
            <w:r w:rsidR="00C80D5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wystąpienia zwiększyło się do śre</w:t>
            </w:r>
            <w:r w:rsidR="00C80D56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="00C80D56">
              <w:rPr>
                <w:rFonts w:ascii="Arial" w:hAnsi="Arial" w:cs="Arial"/>
                <w:sz w:val="18"/>
                <w:szCs w:val="18"/>
                <w:lang w:eastAsia="pl-PL"/>
              </w:rPr>
              <w:t>niego.</w:t>
            </w:r>
          </w:p>
        </w:tc>
      </w:tr>
      <w:tr w:rsidR="003F05D4" w:rsidRPr="00406021" w:rsidTr="00A31753">
        <w:tc>
          <w:tcPr>
            <w:tcW w:w="2257" w:type="dxa"/>
          </w:tcPr>
          <w:p w:rsidR="003F05D4" w:rsidRPr="00A6084C" w:rsidRDefault="003F05D4" w:rsidP="00A3175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Ryzyko związane ze zmiennością kursów walut, która może mieć 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wpływ na wielkość w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datków poniesionych m.in. na sprzęt serwer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wy, komputerowy</w:t>
            </w:r>
          </w:p>
        </w:tc>
        <w:tc>
          <w:tcPr>
            <w:tcW w:w="1629" w:type="dxa"/>
          </w:tcPr>
          <w:p w:rsidR="003F05D4" w:rsidRPr="00A6084C" w:rsidRDefault="003F05D4" w:rsidP="00A31753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duża</w:t>
            </w:r>
          </w:p>
        </w:tc>
        <w:tc>
          <w:tcPr>
            <w:tcW w:w="3406" w:type="dxa"/>
          </w:tcPr>
          <w:p w:rsidR="003F05D4" w:rsidRPr="00A6084C" w:rsidRDefault="003F05D4" w:rsidP="00A3175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206" w:type="dxa"/>
          </w:tcPr>
          <w:p w:rsidR="003F05D4" w:rsidRPr="00A6084C" w:rsidRDefault="003F05D4" w:rsidP="00A31753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Przewidziano kategorie wydatków „rezerwa” w ramach kosztów 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kwalifikowanych.</w:t>
            </w:r>
          </w:p>
          <w:p w:rsidR="003F05D4" w:rsidRPr="00A6084C" w:rsidRDefault="003F05D4" w:rsidP="00A31753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Spodziewany efekt:</w:t>
            </w:r>
          </w:p>
          <w:p w:rsidR="003F05D4" w:rsidRPr="00A6084C" w:rsidRDefault="003F05D4" w:rsidP="00A31753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dostawa sprzętu prz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biegłaby sprawnie i bez opóźnień. Siła oddział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wania i prawdopod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bieństwo wystąpienia pozostają takie same</w:t>
            </w:r>
          </w:p>
        </w:tc>
      </w:tr>
      <w:tr w:rsidR="003F05D4" w:rsidRPr="00406021" w:rsidTr="00A31753">
        <w:tc>
          <w:tcPr>
            <w:tcW w:w="2257" w:type="dxa"/>
          </w:tcPr>
          <w:p w:rsidR="003F05D4" w:rsidRPr="00A6084C" w:rsidRDefault="003F05D4" w:rsidP="00A3175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Opóźnienia w przekaz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waniu zaliczek przez Instytucję finansującą</w:t>
            </w:r>
          </w:p>
        </w:tc>
        <w:tc>
          <w:tcPr>
            <w:tcW w:w="1629" w:type="dxa"/>
          </w:tcPr>
          <w:p w:rsidR="003F05D4" w:rsidRPr="00A6084C" w:rsidRDefault="003F05D4" w:rsidP="00A31753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3406" w:type="dxa"/>
          </w:tcPr>
          <w:p w:rsidR="003F05D4" w:rsidRPr="00A6084C" w:rsidRDefault="003F05D4" w:rsidP="00A3175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206" w:type="dxa"/>
          </w:tcPr>
          <w:p w:rsidR="003F05D4" w:rsidRPr="00A6084C" w:rsidRDefault="003F05D4" w:rsidP="00A31753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Na uczelni przyjęto procedurę </w:t>
            </w:r>
            <w:proofErr w:type="spellStart"/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prefinansowania</w:t>
            </w:r>
            <w:proofErr w:type="spellEnd"/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wydatków w ramach umów zawartych z Instytucjami finansującymi, Zarządzenie Rektora 3/2008 z </w:t>
            </w:r>
            <w:proofErr w:type="spellStart"/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póź.zm</w:t>
            </w:r>
            <w:proofErr w:type="spellEnd"/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</w:p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Faktyczny efekt:</w:t>
            </w:r>
          </w:p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- realizacja płatności w projekcie idą bez opó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ź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nień. Siła oddziaływania i prawdopodobieństwo wystąpienia pozostają takie same.</w:t>
            </w:r>
          </w:p>
        </w:tc>
      </w:tr>
      <w:tr w:rsidR="003F05D4" w:rsidRPr="00406021" w:rsidTr="00A31753">
        <w:tc>
          <w:tcPr>
            <w:tcW w:w="2257" w:type="dxa"/>
          </w:tcPr>
          <w:p w:rsidR="003F05D4" w:rsidRPr="00A6084C" w:rsidRDefault="003F05D4" w:rsidP="00A3175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Kłopoty z komunikacją w projekcie i z otoczeniem</w:t>
            </w:r>
          </w:p>
          <w:p w:rsidR="003F05D4" w:rsidRPr="00A6084C" w:rsidRDefault="003F05D4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629" w:type="dxa"/>
          </w:tcPr>
          <w:p w:rsidR="003F05D4" w:rsidRPr="00A6084C" w:rsidRDefault="00C80D56" w:rsidP="00A31753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3406" w:type="dxa"/>
          </w:tcPr>
          <w:p w:rsidR="003F05D4" w:rsidRPr="00A6084C" w:rsidRDefault="003F05D4" w:rsidP="00A3175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206" w:type="dxa"/>
          </w:tcPr>
          <w:p w:rsidR="003F05D4" w:rsidRDefault="003F05D4" w:rsidP="00A31753">
            <w:pPr>
              <w:pStyle w:val="Legenda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Przyjęto metodykę zarządzania projektem, uwzględniającą politykę komunikacji między zespołami oraz plan </w:t>
            </w:r>
            <w:proofErr w:type="spellStart"/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informacyjno–promocyjny</w:t>
            </w:r>
            <w:proofErr w:type="spellEnd"/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zakładający m.in. komunikację zespołu </w:t>
            </w: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 otoczeniem.</w:t>
            </w:r>
            <w:r w:rsidRPr="00A6084C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</w:p>
          <w:p w:rsidR="003F05D4" w:rsidRDefault="00C80D56" w:rsidP="00A31753">
            <w:pPr>
              <w:pStyle w:val="Legenda"/>
              <w:jc w:val="both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Przekazujemy na bieżąco informacje członkom zespołów oraz liderom w jednostkach zaangażowanych w realizację projektu nt. stosowanych form komunikacji. Założenia uwzględniają</w:t>
            </w:r>
            <w:r w:rsidR="003F05D4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przyjęty (zdalny) na Uczelni sposób pracy przez większość pracowników.</w:t>
            </w:r>
          </w:p>
          <w:p w:rsidR="003F05D4" w:rsidRPr="00A6084C" w:rsidRDefault="003F05D4" w:rsidP="00C80D56">
            <w:pPr>
              <w:pStyle w:val="Legenda"/>
              <w:jc w:val="both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Spodziewany efekt: komunikacja między jednostkami jest </w:t>
            </w:r>
            <w:r w:rsidR="00C80D56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poprawna</w:t>
            </w: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i przebiega bez </w:t>
            </w:r>
            <w:r w:rsidR="00C80D56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większych problemów</w:t>
            </w: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A6084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Siła oddziaływania</w:t>
            </w:r>
            <w:r w:rsidR="00C80D56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wzrosła, a</w:t>
            </w:r>
            <w:r w:rsidRPr="00A6084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prawdopo</w:t>
            </w:r>
            <w:r w:rsidR="00C80D56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dobieństwo wystąpienia pozostaje takie samo</w:t>
            </w:r>
            <w:r w:rsidRPr="00A6084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2125"/>
        <w:gridCol w:w="2693"/>
      </w:tblGrid>
      <w:tr w:rsidR="003F05D4" w:rsidRPr="00D74479" w:rsidTr="00A3175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3F05D4" w:rsidRPr="001D7912" w:rsidRDefault="003F05D4" w:rsidP="00A3175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D7912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3F05D4" w:rsidRPr="00D74479" w:rsidRDefault="003F05D4" w:rsidP="00A3175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3F05D4" w:rsidRPr="00D74479" w:rsidRDefault="003F05D4" w:rsidP="00A3175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3F05D4" w:rsidRPr="00D74479" w:rsidRDefault="003F05D4" w:rsidP="00A3175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Pr="00D74479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3F05D4" w:rsidRPr="00D74479" w:rsidTr="00A31753">
        <w:trPr>
          <w:trHeight w:val="724"/>
        </w:trPr>
        <w:tc>
          <w:tcPr>
            <w:tcW w:w="3261" w:type="dxa"/>
            <w:shd w:val="clear" w:color="auto" w:fill="auto"/>
          </w:tcPr>
          <w:p w:rsidR="003F05D4" w:rsidRPr="00A6084C" w:rsidRDefault="003F05D4" w:rsidP="00A3175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Brak zabezpieczenia przez uczelnię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3F05D4" w:rsidRPr="00A6084C" w:rsidRDefault="003F05D4" w:rsidP="00A31753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3F05D4" w:rsidRPr="005228EB" w:rsidRDefault="003F05D4" w:rsidP="00A317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EB">
              <w:rPr>
                <w:rFonts w:ascii="Arial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:rsidR="003F05D4" w:rsidRPr="00A6084C" w:rsidRDefault="003F05D4" w:rsidP="00A31753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Zespół zarządzający w trakcie realizacji projektu stworzy ramy dalszego funkcjonowania systemu w oparciu o akty wewnętrzne uczelni, które gwarantować będą wieloletni plan rozwoju i finansowania systemu</w:t>
            </w:r>
          </w:p>
        </w:tc>
      </w:tr>
      <w:tr w:rsidR="003F05D4" w:rsidRPr="00D74479" w:rsidTr="00A31753">
        <w:trPr>
          <w:trHeight w:val="724"/>
        </w:trPr>
        <w:tc>
          <w:tcPr>
            <w:tcW w:w="3261" w:type="dxa"/>
            <w:shd w:val="clear" w:color="auto" w:fill="auto"/>
          </w:tcPr>
          <w:p w:rsidR="003F05D4" w:rsidRPr="00A6084C" w:rsidRDefault="003F05D4" w:rsidP="00A3175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Ryzyko wystąpienia awarii składników infrastruktury teleinformatycznej np.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serwerów, macierzy dyskowej, urz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A6084C">
              <w:rPr>
                <w:rFonts w:ascii="Arial" w:hAnsi="Arial" w:cs="Arial"/>
                <w:sz w:val="18"/>
                <w:szCs w:val="18"/>
                <w:lang w:eastAsia="pl-PL"/>
              </w:rPr>
              <w:t>dzeń do archiwizacji.</w:t>
            </w:r>
          </w:p>
        </w:tc>
        <w:tc>
          <w:tcPr>
            <w:tcW w:w="1701" w:type="dxa"/>
            <w:shd w:val="clear" w:color="auto" w:fill="FFFFFF"/>
          </w:tcPr>
          <w:p w:rsidR="003F05D4" w:rsidRPr="00A6084C" w:rsidRDefault="003F05D4" w:rsidP="00A31753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3F05D4" w:rsidRPr="00A6084C" w:rsidRDefault="003F05D4" w:rsidP="00A3175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3F05D4" w:rsidRPr="00A6084C" w:rsidRDefault="003F05D4" w:rsidP="00A31753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084C">
              <w:rPr>
                <w:rFonts w:ascii="Arial" w:eastAsia="Times New Roman" w:hAnsi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Zespół projektowy zapewni ramy funkcjonowania powstałych efektów projektu, w tym również dodatkowe finansowanie na utrzymanie jego trwałości </w:t>
            </w: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3F05D4" w:rsidRDefault="003F05D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3F05D4">
        <w:rPr>
          <w:rFonts w:ascii="Arial" w:hAnsi="Arial" w:cs="Arial"/>
          <w:sz w:val="18"/>
          <w:szCs w:val="18"/>
        </w:rPr>
        <w:t>Nie dotyczy</w:t>
      </w:r>
    </w:p>
    <w:p w:rsidR="003F05D4" w:rsidRPr="003F05D4" w:rsidRDefault="00BB059E" w:rsidP="003F05D4">
      <w:pPr>
        <w:numPr>
          <w:ilvl w:val="0"/>
          <w:numId w:val="19"/>
        </w:numPr>
        <w:spacing w:before="240" w:after="120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:rsidR="003F05D4" w:rsidRPr="00A6084C" w:rsidRDefault="003F05D4" w:rsidP="003F05D4">
      <w:pPr>
        <w:spacing w:before="240" w:after="120"/>
        <w:rPr>
          <w:rFonts w:ascii="Arial" w:hAnsi="Arial" w:cs="Arial"/>
          <w:sz w:val="18"/>
          <w:szCs w:val="18"/>
        </w:rPr>
      </w:pPr>
      <w:r w:rsidRPr="00A6084C">
        <w:rPr>
          <w:rFonts w:ascii="Arial" w:hAnsi="Arial" w:cs="Arial"/>
          <w:sz w:val="18"/>
          <w:szCs w:val="18"/>
        </w:rPr>
        <w:t>Emilia Wilanowska, email: emilia.wilanowska@uwr.edu.pl, tel. 71 324 6025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p w:rsidR="003F05D4" w:rsidRDefault="003F05D4" w:rsidP="00A92887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3F05D4" w:rsidRPr="003F05D4" w:rsidRDefault="003F05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3F05D4">
        <w:rPr>
          <w:rFonts w:ascii="Arial" w:hAnsi="Arial" w:cs="Arial"/>
          <w:sz w:val="18"/>
          <w:szCs w:val="18"/>
        </w:rPr>
        <w:t>Nie dotyczy</w:t>
      </w:r>
    </w:p>
    <w:sectPr w:rsidR="003F05D4" w:rsidRPr="003F05D4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C7F" w:rsidRDefault="006A5C7F" w:rsidP="00BB2420">
      <w:pPr>
        <w:spacing w:after="0" w:line="240" w:lineRule="auto"/>
      </w:pPr>
      <w:r>
        <w:separator/>
      </w:r>
    </w:p>
  </w:endnote>
  <w:endnote w:type="continuationSeparator" w:id="0">
    <w:p w:rsidR="006A5C7F" w:rsidRDefault="006A5C7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NimbusSanL 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5155E5" w:rsidRDefault="005155E5">
            <w:pPr>
              <w:pStyle w:val="Stopka"/>
              <w:jc w:val="right"/>
            </w:pPr>
            <w:r>
              <w:t xml:space="preserve">Strona </w:t>
            </w:r>
            <w:r w:rsidR="006A51C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A51CF">
              <w:rPr>
                <w:b/>
                <w:bCs/>
                <w:sz w:val="24"/>
                <w:szCs w:val="24"/>
              </w:rPr>
              <w:fldChar w:fldCharType="separate"/>
            </w:r>
            <w:r w:rsidR="00A609DA">
              <w:rPr>
                <w:b/>
                <w:bCs/>
                <w:noProof/>
              </w:rPr>
              <w:t>9</w:t>
            </w:r>
            <w:r w:rsidR="006A51C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:rsidR="005155E5" w:rsidRDefault="005155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C7F" w:rsidRDefault="006A5C7F" w:rsidP="00BB2420">
      <w:pPr>
        <w:spacing w:after="0" w:line="240" w:lineRule="auto"/>
      </w:pPr>
      <w:r>
        <w:separator/>
      </w:r>
    </w:p>
  </w:footnote>
  <w:footnote w:type="continuationSeparator" w:id="0">
    <w:p w:rsidR="006A5C7F" w:rsidRDefault="006A5C7F" w:rsidP="00BB2420">
      <w:pPr>
        <w:spacing w:after="0" w:line="240" w:lineRule="auto"/>
      </w:pPr>
      <w:r>
        <w:continuationSeparator/>
      </w:r>
    </w:p>
  </w:footnote>
  <w:footnote w:id="1">
    <w:p w:rsidR="005155E5" w:rsidRDefault="005155E5" w:rsidP="001254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6084C">
        <w:rPr>
          <w:rFonts w:ascii="Arial" w:hAnsi="Arial" w:cs="Arial"/>
          <w:sz w:val="16"/>
          <w:szCs w:val="16"/>
        </w:rPr>
        <w:t>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5A1B30"/>
    <w:rsid w:val="00003CB0"/>
    <w:rsid w:val="00006E59"/>
    <w:rsid w:val="0001478A"/>
    <w:rsid w:val="00043DD9"/>
    <w:rsid w:val="00044D68"/>
    <w:rsid w:val="00047D9D"/>
    <w:rsid w:val="0006403E"/>
    <w:rsid w:val="000704A7"/>
    <w:rsid w:val="00070663"/>
    <w:rsid w:val="00071880"/>
    <w:rsid w:val="00084E5B"/>
    <w:rsid w:val="00087231"/>
    <w:rsid w:val="00095944"/>
    <w:rsid w:val="00097EB1"/>
    <w:rsid w:val="000A1DFB"/>
    <w:rsid w:val="000A2F32"/>
    <w:rsid w:val="000A3938"/>
    <w:rsid w:val="000A61D7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5455"/>
    <w:rsid w:val="001309CA"/>
    <w:rsid w:val="00131AC7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2F63AE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3F05D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0DFB"/>
    <w:rsid w:val="004C1D48"/>
    <w:rsid w:val="004D65CA"/>
    <w:rsid w:val="004E40C9"/>
    <w:rsid w:val="004F6E89"/>
    <w:rsid w:val="00504B06"/>
    <w:rsid w:val="005076A1"/>
    <w:rsid w:val="00513213"/>
    <w:rsid w:val="005155E5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2216D"/>
    <w:rsid w:val="006334BF"/>
    <w:rsid w:val="00635A54"/>
    <w:rsid w:val="00651D97"/>
    <w:rsid w:val="00661A62"/>
    <w:rsid w:val="006731D9"/>
    <w:rsid w:val="006822BC"/>
    <w:rsid w:val="006948D3"/>
    <w:rsid w:val="006A09FD"/>
    <w:rsid w:val="006A4A89"/>
    <w:rsid w:val="006A51CF"/>
    <w:rsid w:val="006A5C7F"/>
    <w:rsid w:val="006A60AA"/>
    <w:rsid w:val="006B034F"/>
    <w:rsid w:val="006B5117"/>
    <w:rsid w:val="006C78AE"/>
    <w:rsid w:val="006E0CFA"/>
    <w:rsid w:val="006E6205"/>
    <w:rsid w:val="00701800"/>
    <w:rsid w:val="00713272"/>
    <w:rsid w:val="00725708"/>
    <w:rsid w:val="00730550"/>
    <w:rsid w:val="00740A47"/>
    <w:rsid w:val="00741F71"/>
    <w:rsid w:val="00746ABD"/>
    <w:rsid w:val="00750445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3167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13A4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4198"/>
    <w:rsid w:val="009C6140"/>
    <w:rsid w:val="009C7ABB"/>
    <w:rsid w:val="009D2FA4"/>
    <w:rsid w:val="009D7D8A"/>
    <w:rsid w:val="009E4C67"/>
    <w:rsid w:val="009F09BF"/>
    <w:rsid w:val="009F1DC8"/>
    <w:rsid w:val="009F437E"/>
    <w:rsid w:val="00A11788"/>
    <w:rsid w:val="00A30847"/>
    <w:rsid w:val="00A31753"/>
    <w:rsid w:val="00A36AE2"/>
    <w:rsid w:val="00A43E49"/>
    <w:rsid w:val="00A44EA2"/>
    <w:rsid w:val="00A56D63"/>
    <w:rsid w:val="00A609DA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334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80D56"/>
    <w:rsid w:val="00CA2DB7"/>
    <w:rsid w:val="00CA516B"/>
    <w:rsid w:val="00CC7E21"/>
    <w:rsid w:val="00CE74F9"/>
    <w:rsid w:val="00CE7777"/>
    <w:rsid w:val="00CF2E64"/>
    <w:rsid w:val="00D02F6D"/>
    <w:rsid w:val="00D0342A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2408"/>
    <w:rsid w:val="00DB69FD"/>
    <w:rsid w:val="00DC0A8A"/>
    <w:rsid w:val="00DC1705"/>
    <w:rsid w:val="00DC39A9"/>
    <w:rsid w:val="00DC4C79"/>
    <w:rsid w:val="00DE11E9"/>
    <w:rsid w:val="00DE6249"/>
    <w:rsid w:val="00DE6275"/>
    <w:rsid w:val="00DE731D"/>
    <w:rsid w:val="00E0076D"/>
    <w:rsid w:val="00E11B44"/>
    <w:rsid w:val="00E15DEB"/>
    <w:rsid w:val="00E1688D"/>
    <w:rsid w:val="00E203EB"/>
    <w:rsid w:val="00E22B20"/>
    <w:rsid w:val="00E24FD2"/>
    <w:rsid w:val="00E35401"/>
    <w:rsid w:val="00E375DB"/>
    <w:rsid w:val="00E42938"/>
    <w:rsid w:val="00E47508"/>
    <w:rsid w:val="00E55EB0"/>
    <w:rsid w:val="00E57BB7"/>
    <w:rsid w:val="00E61CB0"/>
    <w:rsid w:val="00E641B9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0412"/>
    <w:rsid w:val="00F21D9E"/>
    <w:rsid w:val="00F25348"/>
    <w:rsid w:val="00F45506"/>
    <w:rsid w:val="00F60062"/>
    <w:rsid w:val="00F613CC"/>
    <w:rsid w:val="00F70037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NormalnyWeb">
    <w:name w:val="Normal (Web)"/>
    <w:basedOn w:val="Normalny"/>
    <w:uiPriority w:val="99"/>
    <w:unhideWhenUsed/>
    <w:rsid w:val="00622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5455"/>
    <w:rPr>
      <w:b/>
      <w:bCs/>
    </w:rPr>
  </w:style>
  <w:style w:type="paragraph" w:customStyle="1" w:styleId="paragraph">
    <w:name w:val="paragraph"/>
    <w:basedOn w:val="Normalny"/>
    <w:rsid w:val="00125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25455"/>
  </w:style>
  <w:style w:type="character" w:customStyle="1" w:styleId="eop">
    <w:name w:val="eop"/>
    <w:basedOn w:val="Domylnaczcionkaakapitu"/>
    <w:rsid w:val="00125455"/>
  </w:style>
  <w:style w:type="character" w:customStyle="1" w:styleId="spellingerror">
    <w:name w:val="spellingerror"/>
    <w:basedOn w:val="Domylnaczcionkaakapitu"/>
    <w:rsid w:val="00125455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254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25455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3F05D4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45366-2B2C-41F7-BEFD-078F62ADB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3346</Words>
  <Characters>20076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2020-10-15T10:41:00Z</dcterms:created>
  <dcterms:modified xsi:type="dcterms:W3CDTF">2020-10-19T05:59:00Z</dcterms:modified>
</cp:coreProperties>
</file>